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AF9E3" w14:textId="77777777" w:rsidR="00975AC0" w:rsidRPr="005933F6" w:rsidRDefault="00975AC0" w:rsidP="00975AC0">
      <w:pPr>
        <w:rPr>
          <w:lang w:val="en-GB"/>
        </w:rPr>
      </w:pPr>
    </w:p>
    <w:p w14:paraId="4F5745B3" w14:textId="77777777" w:rsidR="00975AC0" w:rsidRPr="005933F6" w:rsidRDefault="00975AC0" w:rsidP="00975AC0">
      <w:pPr>
        <w:rPr>
          <w:lang w:val="en-GB"/>
        </w:rPr>
      </w:pPr>
    </w:p>
    <w:p w14:paraId="1355FFA3" w14:textId="77777777" w:rsidR="00975AC0" w:rsidRPr="005933F6" w:rsidRDefault="00975AC0" w:rsidP="00975AC0">
      <w:pPr>
        <w:rPr>
          <w:lang w:val="en-GB"/>
        </w:rPr>
      </w:pPr>
    </w:p>
    <w:p w14:paraId="6B06229D" w14:textId="77777777" w:rsidR="00975AC0" w:rsidRPr="005933F6" w:rsidRDefault="00975AC0" w:rsidP="00975AC0">
      <w:pPr>
        <w:rPr>
          <w:lang w:val="en-GB"/>
        </w:rPr>
      </w:pPr>
    </w:p>
    <w:p w14:paraId="4B61CB9B" w14:textId="77777777" w:rsidR="00975AC0" w:rsidRPr="005933F6" w:rsidRDefault="00975AC0" w:rsidP="00975AC0">
      <w:pPr>
        <w:rPr>
          <w:lang w:val="en-GB"/>
        </w:rPr>
      </w:pPr>
    </w:p>
    <w:p w14:paraId="2AA4C0C7" w14:textId="77777777" w:rsidR="00975AC0" w:rsidRPr="005933F6" w:rsidRDefault="00975AC0" w:rsidP="00975AC0">
      <w:pPr>
        <w:rPr>
          <w:lang w:val="en-GB"/>
        </w:rPr>
      </w:pPr>
    </w:p>
    <w:p w14:paraId="2BD0A18E" w14:textId="77777777" w:rsidR="00975AC0" w:rsidRPr="005933F6" w:rsidRDefault="00975AC0" w:rsidP="00975AC0">
      <w:pPr>
        <w:rPr>
          <w:lang w:val="en-GB"/>
        </w:rPr>
      </w:pPr>
    </w:p>
    <w:p w14:paraId="1145ED9B" w14:textId="77777777" w:rsidR="00975AC0" w:rsidRPr="005933F6" w:rsidRDefault="00975AC0" w:rsidP="00975AC0">
      <w:pPr>
        <w:rPr>
          <w:lang w:val="en-GB"/>
        </w:rPr>
      </w:pPr>
    </w:p>
    <w:p w14:paraId="4E602909" w14:textId="77777777" w:rsidR="00975AC0" w:rsidRPr="005933F6" w:rsidRDefault="00975AC0" w:rsidP="00975AC0">
      <w:pPr>
        <w:rPr>
          <w:lang w:val="en-GB"/>
        </w:rPr>
      </w:pPr>
    </w:p>
    <w:p w14:paraId="2CE9554E" w14:textId="77777777" w:rsidR="00975AC0" w:rsidRPr="005933F6" w:rsidRDefault="00975AC0" w:rsidP="00975AC0">
      <w:pPr>
        <w:rPr>
          <w:lang w:val="en-GB"/>
        </w:rPr>
      </w:pPr>
    </w:p>
    <w:p w14:paraId="094BF093" w14:textId="77777777" w:rsidR="00975AC0" w:rsidRPr="005933F6" w:rsidRDefault="00975AC0" w:rsidP="00975AC0">
      <w:pPr>
        <w:rPr>
          <w:lang w:val="en-GB"/>
        </w:rPr>
      </w:pPr>
    </w:p>
    <w:p w14:paraId="6D9D9F8B" w14:textId="077B2A0D" w:rsidR="009B7B63" w:rsidRPr="005933F6" w:rsidRDefault="009B7B63" w:rsidP="009B7B63">
      <w:pPr>
        <w:spacing w:after="80" w:line="240" w:lineRule="auto"/>
        <w:contextualSpacing/>
        <w:jc w:val="center"/>
        <w:rPr>
          <w:rFonts w:ascii="Calibri Light" w:eastAsia="Times New Roman" w:hAnsi="Calibri Light" w:cs="Times New Roman"/>
          <w:spacing w:val="-10"/>
          <w:kern w:val="28"/>
          <w:sz w:val="56"/>
          <w:szCs w:val="56"/>
          <w:lang w:val="en-GB"/>
        </w:rPr>
      </w:pPr>
      <w:r w:rsidRPr="005933F6">
        <w:rPr>
          <w:rFonts w:ascii="Calibri Light" w:eastAsia="Times New Roman" w:hAnsi="Calibri Light" w:cs="Times New Roman"/>
          <w:spacing w:val="-10"/>
          <w:kern w:val="28"/>
          <w:sz w:val="56"/>
          <w:szCs w:val="56"/>
          <w:lang w:val="en-GB"/>
        </w:rPr>
        <w:t>Infrastructure Accessibility Improvement Guide</w:t>
      </w:r>
    </w:p>
    <w:p w14:paraId="52FE7F32" w14:textId="3F9927C2" w:rsidR="009B7B63" w:rsidRPr="005933F6" w:rsidRDefault="009B7B63" w:rsidP="009B7B63">
      <w:pPr>
        <w:spacing w:line="276" w:lineRule="auto"/>
        <w:jc w:val="center"/>
        <w:rPr>
          <w:rFonts w:ascii="Calibri" w:eastAsia="Times New Roman" w:hAnsi="Calibri" w:cs="Times New Roman"/>
          <w:color w:val="595959" w:themeColor="text1" w:themeTint="A6"/>
          <w:spacing w:val="15"/>
          <w:sz w:val="28"/>
          <w:szCs w:val="28"/>
          <w:lang w:val="en-GB"/>
        </w:rPr>
      </w:pPr>
      <w:r w:rsidRPr="005933F6">
        <w:rPr>
          <w:rFonts w:ascii="Calibri" w:eastAsia="Times New Roman" w:hAnsi="Calibri" w:cs="Times New Roman"/>
          <w:color w:val="595959" w:themeColor="text1" w:themeTint="A6"/>
          <w:spacing w:val="15"/>
          <w:sz w:val="28"/>
          <w:szCs w:val="28"/>
          <w:lang w:val="en-GB"/>
        </w:rPr>
        <w:t>Handbook for planning accessible infrastructure improvements in tourism, cultural and heritage sites</w:t>
      </w:r>
    </w:p>
    <w:p w14:paraId="08629588" w14:textId="77777777" w:rsidR="009B7B63" w:rsidRPr="005933F6" w:rsidRDefault="009B7B63" w:rsidP="009B7B63">
      <w:pPr>
        <w:spacing w:line="276" w:lineRule="auto"/>
        <w:jc w:val="center"/>
        <w:rPr>
          <w:rFonts w:ascii="Calibri" w:eastAsia="Times New Roman" w:hAnsi="Calibri" w:cs="Times New Roman"/>
          <w:color w:val="595959" w:themeColor="text1" w:themeTint="A6"/>
          <w:spacing w:val="15"/>
          <w:sz w:val="28"/>
          <w:szCs w:val="28"/>
          <w:lang w:val="en-GB"/>
        </w:rPr>
      </w:pPr>
      <w:r w:rsidRPr="005933F6">
        <w:rPr>
          <w:rFonts w:ascii="Calibri" w:eastAsia="Times New Roman" w:hAnsi="Calibri" w:cs="Times New Roman"/>
          <w:color w:val="595959" w:themeColor="text1" w:themeTint="A6"/>
          <w:spacing w:val="15"/>
          <w:sz w:val="28"/>
          <w:szCs w:val="28"/>
          <w:lang w:val="en-GB"/>
        </w:rPr>
        <w:t>Project: TACT - Training for Accessible Cultural Tourism</w:t>
      </w:r>
    </w:p>
    <w:p w14:paraId="490F3941" w14:textId="77777777" w:rsidR="009B7B63" w:rsidRPr="005933F6" w:rsidRDefault="009B7B63" w:rsidP="009B7B63">
      <w:pPr>
        <w:spacing w:line="276" w:lineRule="auto"/>
        <w:jc w:val="center"/>
        <w:rPr>
          <w:rFonts w:ascii="Calibri" w:eastAsia="Times New Roman" w:hAnsi="Calibri" w:cs="Times New Roman"/>
          <w:color w:val="595959" w:themeColor="text1" w:themeTint="A6"/>
          <w:spacing w:val="15"/>
          <w:sz w:val="28"/>
          <w:szCs w:val="28"/>
          <w:lang w:val="en-GB"/>
        </w:rPr>
      </w:pPr>
      <w:r w:rsidRPr="005933F6">
        <w:rPr>
          <w:rFonts w:ascii="Calibri" w:eastAsia="Times New Roman" w:hAnsi="Calibri" w:cs="Times New Roman"/>
          <w:color w:val="595959" w:themeColor="text1" w:themeTint="A6"/>
          <w:spacing w:val="15"/>
          <w:sz w:val="28"/>
          <w:szCs w:val="28"/>
          <w:lang w:val="en-GB"/>
        </w:rPr>
        <w:t>Project ID: KA210-ADU-BC4A84FC</w:t>
      </w:r>
    </w:p>
    <w:p w14:paraId="249D5684" w14:textId="77777777" w:rsidR="00975AC0" w:rsidRPr="005933F6" w:rsidRDefault="00975AC0" w:rsidP="00975AC0">
      <w:pPr>
        <w:rPr>
          <w:lang w:val="en-GB"/>
        </w:rPr>
      </w:pPr>
    </w:p>
    <w:p w14:paraId="5AD65B43" w14:textId="6C77EE02" w:rsidR="00975AC0" w:rsidRPr="005933F6" w:rsidRDefault="00975AC0">
      <w:pPr>
        <w:rPr>
          <w:lang w:val="en-GB"/>
        </w:rPr>
      </w:pPr>
      <w:r w:rsidRPr="005933F6">
        <w:rPr>
          <w:lang w:val="en-GB"/>
        </w:rPr>
        <w:br w:type="page"/>
      </w:r>
    </w:p>
    <w:sdt>
      <w:sdtPr>
        <w:rPr>
          <w:lang w:val="en-GB"/>
        </w:rPr>
        <w:id w:val="1415815358"/>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3B2F3AC4" w14:textId="6E2C9044" w:rsidR="005933F6" w:rsidRPr="005933F6" w:rsidRDefault="005933F6">
          <w:pPr>
            <w:pStyle w:val="TOCHeading"/>
            <w:rPr>
              <w:lang w:val="en-GB"/>
            </w:rPr>
          </w:pPr>
          <w:r w:rsidRPr="005933F6">
            <w:rPr>
              <w:lang w:val="en-GB"/>
            </w:rPr>
            <w:t>Contents</w:t>
          </w:r>
        </w:p>
        <w:p w14:paraId="52A80C26" w14:textId="05D4EEBC" w:rsidR="005933F6" w:rsidRPr="005933F6" w:rsidRDefault="005933F6">
          <w:pPr>
            <w:pStyle w:val="TOC1"/>
            <w:tabs>
              <w:tab w:val="left" w:pos="480"/>
              <w:tab w:val="right" w:leader="dot" w:pos="9016"/>
            </w:tabs>
            <w:rPr>
              <w:rFonts w:eastAsiaTheme="minorEastAsia"/>
              <w:noProof/>
              <w:lang w:val="en-GB"/>
            </w:rPr>
          </w:pPr>
          <w:r w:rsidRPr="005933F6">
            <w:rPr>
              <w:lang w:val="en-GB"/>
            </w:rPr>
            <w:fldChar w:fldCharType="begin"/>
          </w:r>
          <w:r w:rsidRPr="005933F6">
            <w:rPr>
              <w:lang w:val="en-GB"/>
            </w:rPr>
            <w:instrText xml:space="preserve"> TOC \o "1-3" \h \z \u </w:instrText>
          </w:r>
          <w:r w:rsidRPr="005933F6">
            <w:rPr>
              <w:lang w:val="en-GB"/>
            </w:rPr>
            <w:fldChar w:fldCharType="separate"/>
          </w:r>
          <w:hyperlink w:anchor="_Toc219995091" w:history="1">
            <w:r w:rsidRPr="005933F6">
              <w:rPr>
                <w:rStyle w:val="Hyperlink"/>
                <w:noProof/>
                <w:lang w:val="en-GB"/>
              </w:rPr>
              <w:t>1.</w:t>
            </w:r>
            <w:r w:rsidRPr="005933F6">
              <w:rPr>
                <w:rFonts w:eastAsiaTheme="minorEastAsia"/>
                <w:noProof/>
                <w:lang w:val="en-GB"/>
              </w:rPr>
              <w:tab/>
            </w:r>
            <w:r w:rsidRPr="005933F6">
              <w:rPr>
                <w:rStyle w:val="Hyperlink"/>
                <w:noProof/>
                <w:lang w:val="en-GB"/>
              </w:rPr>
              <w:t>Mobility/Physical Access</w:t>
            </w:r>
            <w:r w:rsidRPr="005933F6">
              <w:rPr>
                <w:noProof/>
                <w:webHidden/>
                <w:lang w:val="en-GB"/>
              </w:rPr>
              <w:tab/>
            </w:r>
            <w:r w:rsidRPr="005933F6">
              <w:rPr>
                <w:noProof/>
                <w:webHidden/>
                <w:lang w:val="en-GB"/>
              </w:rPr>
              <w:fldChar w:fldCharType="begin"/>
            </w:r>
            <w:r w:rsidRPr="005933F6">
              <w:rPr>
                <w:noProof/>
                <w:webHidden/>
                <w:lang w:val="en-GB"/>
              </w:rPr>
              <w:instrText xml:space="preserve"> PAGEREF _Toc219995091 \h </w:instrText>
            </w:r>
            <w:r w:rsidRPr="005933F6">
              <w:rPr>
                <w:noProof/>
                <w:webHidden/>
                <w:lang w:val="en-GB"/>
              </w:rPr>
            </w:r>
            <w:r w:rsidRPr="005933F6">
              <w:rPr>
                <w:noProof/>
                <w:webHidden/>
                <w:lang w:val="en-GB"/>
              </w:rPr>
              <w:fldChar w:fldCharType="separate"/>
            </w:r>
            <w:r w:rsidRPr="005933F6">
              <w:rPr>
                <w:noProof/>
                <w:webHidden/>
                <w:lang w:val="en-GB"/>
              </w:rPr>
              <w:t>3</w:t>
            </w:r>
            <w:r w:rsidRPr="005933F6">
              <w:rPr>
                <w:noProof/>
                <w:webHidden/>
                <w:lang w:val="en-GB"/>
              </w:rPr>
              <w:fldChar w:fldCharType="end"/>
            </w:r>
          </w:hyperlink>
        </w:p>
        <w:p w14:paraId="13E6E519" w14:textId="63198913" w:rsidR="005933F6" w:rsidRPr="005933F6" w:rsidRDefault="005933F6">
          <w:pPr>
            <w:pStyle w:val="TOC1"/>
            <w:tabs>
              <w:tab w:val="left" w:pos="480"/>
              <w:tab w:val="right" w:leader="dot" w:pos="9016"/>
            </w:tabs>
            <w:rPr>
              <w:rFonts w:eastAsiaTheme="minorEastAsia"/>
              <w:noProof/>
              <w:lang w:val="en-GB"/>
            </w:rPr>
          </w:pPr>
          <w:hyperlink w:anchor="_Toc219995092" w:history="1">
            <w:r w:rsidRPr="005933F6">
              <w:rPr>
                <w:rStyle w:val="Hyperlink"/>
                <w:noProof/>
                <w:lang w:val="en-GB"/>
              </w:rPr>
              <w:t>2.</w:t>
            </w:r>
            <w:r w:rsidRPr="005933F6">
              <w:rPr>
                <w:rFonts w:eastAsiaTheme="minorEastAsia"/>
                <w:noProof/>
                <w:lang w:val="en-GB"/>
              </w:rPr>
              <w:tab/>
            </w:r>
            <w:r w:rsidRPr="005933F6">
              <w:rPr>
                <w:rStyle w:val="Hyperlink"/>
                <w:noProof/>
                <w:lang w:val="en-GB"/>
              </w:rPr>
              <w:t>Visual Access</w:t>
            </w:r>
            <w:r w:rsidRPr="005933F6">
              <w:rPr>
                <w:noProof/>
                <w:webHidden/>
                <w:lang w:val="en-GB"/>
              </w:rPr>
              <w:tab/>
            </w:r>
            <w:r w:rsidRPr="005933F6">
              <w:rPr>
                <w:noProof/>
                <w:webHidden/>
                <w:lang w:val="en-GB"/>
              </w:rPr>
              <w:fldChar w:fldCharType="begin"/>
            </w:r>
            <w:r w:rsidRPr="005933F6">
              <w:rPr>
                <w:noProof/>
                <w:webHidden/>
                <w:lang w:val="en-GB"/>
              </w:rPr>
              <w:instrText xml:space="preserve"> PAGEREF _Toc219995092 \h </w:instrText>
            </w:r>
            <w:r w:rsidRPr="005933F6">
              <w:rPr>
                <w:noProof/>
                <w:webHidden/>
                <w:lang w:val="en-GB"/>
              </w:rPr>
            </w:r>
            <w:r w:rsidRPr="005933F6">
              <w:rPr>
                <w:noProof/>
                <w:webHidden/>
                <w:lang w:val="en-GB"/>
              </w:rPr>
              <w:fldChar w:fldCharType="separate"/>
            </w:r>
            <w:r w:rsidRPr="005933F6">
              <w:rPr>
                <w:noProof/>
                <w:webHidden/>
                <w:lang w:val="en-GB"/>
              </w:rPr>
              <w:t>7</w:t>
            </w:r>
            <w:r w:rsidRPr="005933F6">
              <w:rPr>
                <w:noProof/>
                <w:webHidden/>
                <w:lang w:val="en-GB"/>
              </w:rPr>
              <w:fldChar w:fldCharType="end"/>
            </w:r>
          </w:hyperlink>
        </w:p>
        <w:p w14:paraId="1BEFBB03" w14:textId="2871380C" w:rsidR="005933F6" w:rsidRPr="005933F6" w:rsidRDefault="005933F6">
          <w:pPr>
            <w:pStyle w:val="TOC1"/>
            <w:tabs>
              <w:tab w:val="left" w:pos="480"/>
              <w:tab w:val="right" w:leader="dot" w:pos="9016"/>
            </w:tabs>
            <w:rPr>
              <w:rFonts w:eastAsiaTheme="minorEastAsia"/>
              <w:noProof/>
              <w:lang w:val="en-GB"/>
            </w:rPr>
          </w:pPr>
          <w:hyperlink w:anchor="_Toc219995093" w:history="1">
            <w:r w:rsidRPr="005933F6">
              <w:rPr>
                <w:rStyle w:val="Hyperlink"/>
                <w:noProof/>
                <w:lang w:val="en-GB"/>
              </w:rPr>
              <w:t>3.</w:t>
            </w:r>
            <w:r w:rsidRPr="005933F6">
              <w:rPr>
                <w:rFonts w:eastAsiaTheme="minorEastAsia"/>
                <w:noProof/>
                <w:lang w:val="en-GB"/>
              </w:rPr>
              <w:tab/>
            </w:r>
            <w:r w:rsidRPr="005933F6">
              <w:rPr>
                <w:rStyle w:val="Hyperlink"/>
                <w:noProof/>
                <w:lang w:val="en-GB"/>
              </w:rPr>
              <w:t>Hearing Access</w:t>
            </w:r>
            <w:r w:rsidRPr="005933F6">
              <w:rPr>
                <w:noProof/>
                <w:webHidden/>
                <w:lang w:val="en-GB"/>
              </w:rPr>
              <w:tab/>
            </w:r>
            <w:r w:rsidRPr="005933F6">
              <w:rPr>
                <w:noProof/>
                <w:webHidden/>
                <w:lang w:val="en-GB"/>
              </w:rPr>
              <w:fldChar w:fldCharType="begin"/>
            </w:r>
            <w:r w:rsidRPr="005933F6">
              <w:rPr>
                <w:noProof/>
                <w:webHidden/>
                <w:lang w:val="en-GB"/>
              </w:rPr>
              <w:instrText xml:space="preserve"> PAGEREF _Toc219995093 \h </w:instrText>
            </w:r>
            <w:r w:rsidRPr="005933F6">
              <w:rPr>
                <w:noProof/>
                <w:webHidden/>
                <w:lang w:val="en-GB"/>
              </w:rPr>
            </w:r>
            <w:r w:rsidRPr="005933F6">
              <w:rPr>
                <w:noProof/>
                <w:webHidden/>
                <w:lang w:val="en-GB"/>
              </w:rPr>
              <w:fldChar w:fldCharType="separate"/>
            </w:r>
            <w:r w:rsidRPr="005933F6">
              <w:rPr>
                <w:noProof/>
                <w:webHidden/>
                <w:lang w:val="en-GB"/>
              </w:rPr>
              <w:t>11</w:t>
            </w:r>
            <w:r w:rsidRPr="005933F6">
              <w:rPr>
                <w:noProof/>
                <w:webHidden/>
                <w:lang w:val="en-GB"/>
              </w:rPr>
              <w:fldChar w:fldCharType="end"/>
            </w:r>
          </w:hyperlink>
        </w:p>
        <w:p w14:paraId="56E62E24" w14:textId="35EC99E3" w:rsidR="005933F6" w:rsidRPr="005933F6" w:rsidRDefault="005933F6">
          <w:pPr>
            <w:pStyle w:val="TOC1"/>
            <w:tabs>
              <w:tab w:val="left" w:pos="480"/>
              <w:tab w:val="right" w:leader="dot" w:pos="9016"/>
            </w:tabs>
            <w:rPr>
              <w:rFonts w:eastAsiaTheme="minorEastAsia"/>
              <w:noProof/>
              <w:lang w:val="en-GB"/>
            </w:rPr>
          </w:pPr>
          <w:hyperlink w:anchor="_Toc219995094" w:history="1">
            <w:r w:rsidRPr="005933F6">
              <w:rPr>
                <w:rStyle w:val="Hyperlink"/>
                <w:noProof/>
                <w:lang w:val="en-GB"/>
              </w:rPr>
              <w:t>4.</w:t>
            </w:r>
            <w:r w:rsidRPr="005933F6">
              <w:rPr>
                <w:rFonts w:eastAsiaTheme="minorEastAsia"/>
                <w:noProof/>
                <w:lang w:val="en-GB"/>
              </w:rPr>
              <w:tab/>
            </w:r>
            <w:r w:rsidRPr="005933F6">
              <w:rPr>
                <w:rStyle w:val="Hyperlink"/>
                <w:noProof/>
                <w:lang w:val="en-GB"/>
              </w:rPr>
              <w:t>Cognitive / Autism / Developmental</w:t>
            </w:r>
            <w:r w:rsidRPr="005933F6">
              <w:rPr>
                <w:noProof/>
                <w:webHidden/>
                <w:lang w:val="en-GB"/>
              </w:rPr>
              <w:tab/>
            </w:r>
            <w:r w:rsidRPr="005933F6">
              <w:rPr>
                <w:noProof/>
                <w:webHidden/>
                <w:lang w:val="en-GB"/>
              </w:rPr>
              <w:fldChar w:fldCharType="begin"/>
            </w:r>
            <w:r w:rsidRPr="005933F6">
              <w:rPr>
                <w:noProof/>
                <w:webHidden/>
                <w:lang w:val="en-GB"/>
              </w:rPr>
              <w:instrText xml:space="preserve"> PAGEREF _Toc219995094 \h </w:instrText>
            </w:r>
            <w:r w:rsidRPr="005933F6">
              <w:rPr>
                <w:noProof/>
                <w:webHidden/>
                <w:lang w:val="en-GB"/>
              </w:rPr>
            </w:r>
            <w:r w:rsidRPr="005933F6">
              <w:rPr>
                <w:noProof/>
                <w:webHidden/>
                <w:lang w:val="en-GB"/>
              </w:rPr>
              <w:fldChar w:fldCharType="separate"/>
            </w:r>
            <w:r w:rsidRPr="005933F6">
              <w:rPr>
                <w:noProof/>
                <w:webHidden/>
                <w:lang w:val="en-GB"/>
              </w:rPr>
              <w:t>14</w:t>
            </w:r>
            <w:r w:rsidRPr="005933F6">
              <w:rPr>
                <w:noProof/>
                <w:webHidden/>
                <w:lang w:val="en-GB"/>
              </w:rPr>
              <w:fldChar w:fldCharType="end"/>
            </w:r>
          </w:hyperlink>
        </w:p>
        <w:p w14:paraId="578502ED" w14:textId="1C1C99E1" w:rsidR="005933F6" w:rsidRPr="005933F6" w:rsidRDefault="005933F6">
          <w:pPr>
            <w:pStyle w:val="TOC1"/>
            <w:tabs>
              <w:tab w:val="left" w:pos="480"/>
              <w:tab w:val="right" w:leader="dot" w:pos="9016"/>
            </w:tabs>
            <w:rPr>
              <w:rFonts w:eastAsiaTheme="minorEastAsia"/>
              <w:noProof/>
              <w:lang w:val="en-GB"/>
            </w:rPr>
          </w:pPr>
          <w:hyperlink w:anchor="_Toc219995095" w:history="1">
            <w:r w:rsidRPr="005933F6">
              <w:rPr>
                <w:rStyle w:val="Hyperlink"/>
                <w:noProof/>
                <w:lang w:val="en-GB"/>
              </w:rPr>
              <w:t>5.</w:t>
            </w:r>
            <w:r w:rsidRPr="005933F6">
              <w:rPr>
                <w:rFonts w:eastAsiaTheme="minorEastAsia"/>
                <w:noProof/>
                <w:lang w:val="en-GB"/>
              </w:rPr>
              <w:tab/>
            </w:r>
            <w:r w:rsidRPr="005933F6">
              <w:rPr>
                <w:rStyle w:val="Hyperlink"/>
                <w:noProof/>
                <w:lang w:val="en-GB"/>
              </w:rPr>
              <w:t>Digital Enhancements</w:t>
            </w:r>
            <w:r w:rsidRPr="005933F6">
              <w:rPr>
                <w:noProof/>
                <w:webHidden/>
                <w:lang w:val="en-GB"/>
              </w:rPr>
              <w:tab/>
            </w:r>
            <w:r w:rsidRPr="005933F6">
              <w:rPr>
                <w:noProof/>
                <w:webHidden/>
                <w:lang w:val="en-GB"/>
              </w:rPr>
              <w:fldChar w:fldCharType="begin"/>
            </w:r>
            <w:r w:rsidRPr="005933F6">
              <w:rPr>
                <w:noProof/>
                <w:webHidden/>
                <w:lang w:val="en-GB"/>
              </w:rPr>
              <w:instrText xml:space="preserve"> PAGEREF _Toc219995095 \h </w:instrText>
            </w:r>
            <w:r w:rsidRPr="005933F6">
              <w:rPr>
                <w:noProof/>
                <w:webHidden/>
                <w:lang w:val="en-GB"/>
              </w:rPr>
            </w:r>
            <w:r w:rsidRPr="005933F6">
              <w:rPr>
                <w:noProof/>
                <w:webHidden/>
                <w:lang w:val="en-GB"/>
              </w:rPr>
              <w:fldChar w:fldCharType="separate"/>
            </w:r>
            <w:r w:rsidRPr="005933F6">
              <w:rPr>
                <w:noProof/>
                <w:webHidden/>
                <w:lang w:val="en-GB"/>
              </w:rPr>
              <w:t>18</w:t>
            </w:r>
            <w:r w:rsidRPr="005933F6">
              <w:rPr>
                <w:noProof/>
                <w:webHidden/>
                <w:lang w:val="en-GB"/>
              </w:rPr>
              <w:fldChar w:fldCharType="end"/>
            </w:r>
          </w:hyperlink>
        </w:p>
        <w:p w14:paraId="24CE34DC" w14:textId="37A713D9" w:rsidR="005933F6" w:rsidRPr="005933F6" w:rsidRDefault="005933F6">
          <w:pPr>
            <w:pStyle w:val="TOC1"/>
            <w:tabs>
              <w:tab w:val="left" w:pos="480"/>
              <w:tab w:val="right" w:leader="dot" w:pos="9016"/>
            </w:tabs>
            <w:rPr>
              <w:rFonts w:eastAsiaTheme="minorEastAsia"/>
              <w:noProof/>
              <w:lang w:val="en-GB"/>
            </w:rPr>
          </w:pPr>
          <w:hyperlink w:anchor="_Toc219995096" w:history="1">
            <w:r w:rsidRPr="005933F6">
              <w:rPr>
                <w:rStyle w:val="Hyperlink"/>
                <w:noProof/>
                <w:lang w:val="en-GB"/>
              </w:rPr>
              <w:t>6.</w:t>
            </w:r>
            <w:r w:rsidRPr="005933F6">
              <w:rPr>
                <w:rFonts w:eastAsiaTheme="minorEastAsia"/>
                <w:noProof/>
                <w:lang w:val="en-GB"/>
              </w:rPr>
              <w:tab/>
            </w:r>
            <w:r w:rsidRPr="005933F6">
              <w:rPr>
                <w:rStyle w:val="Hyperlink"/>
                <w:noProof/>
                <w:lang w:val="en-GB"/>
              </w:rPr>
              <w:t>Inclusive Exhibits</w:t>
            </w:r>
            <w:r w:rsidRPr="005933F6">
              <w:rPr>
                <w:noProof/>
                <w:webHidden/>
                <w:lang w:val="en-GB"/>
              </w:rPr>
              <w:tab/>
            </w:r>
            <w:r w:rsidRPr="005933F6">
              <w:rPr>
                <w:noProof/>
                <w:webHidden/>
                <w:lang w:val="en-GB"/>
              </w:rPr>
              <w:fldChar w:fldCharType="begin"/>
            </w:r>
            <w:r w:rsidRPr="005933F6">
              <w:rPr>
                <w:noProof/>
                <w:webHidden/>
                <w:lang w:val="en-GB"/>
              </w:rPr>
              <w:instrText xml:space="preserve"> PAGEREF _Toc219995096 \h </w:instrText>
            </w:r>
            <w:r w:rsidRPr="005933F6">
              <w:rPr>
                <w:noProof/>
                <w:webHidden/>
                <w:lang w:val="en-GB"/>
              </w:rPr>
            </w:r>
            <w:r w:rsidRPr="005933F6">
              <w:rPr>
                <w:noProof/>
                <w:webHidden/>
                <w:lang w:val="en-GB"/>
              </w:rPr>
              <w:fldChar w:fldCharType="separate"/>
            </w:r>
            <w:r w:rsidRPr="005933F6">
              <w:rPr>
                <w:noProof/>
                <w:webHidden/>
                <w:lang w:val="en-GB"/>
              </w:rPr>
              <w:t>21</w:t>
            </w:r>
            <w:r w:rsidRPr="005933F6">
              <w:rPr>
                <w:noProof/>
                <w:webHidden/>
                <w:lang w:val="en-GB"/>
              </w:rPr>
              <w:fldChar w:fldCharType="end"/>
            </w:r>
          </w:hyperlink>
        </w:p>
        <w:p w14:paraId="1DEE4A98" w14:textId="1FB1418D" w:rsidR="005933F6" w:rsidRPr="005933F6" w:rsidRDefault="005933F6">
          <w:pPr>
            <w:rPr>
              <w:lang w:val="en-GB"/>
            </w:rPr>
          </w:pPr>
          <w:r w:rsidRPr="005933F6">
            <w:rPr>
              <w:b/>
              <w:bCs/>
              <w:noProof/>
              <w:lang w:val="en-GB"/>
            </w:rPr>
            <w:fldChar w:fldCharType="end"/>
          </w:r>
        </w:p>
      </w:sdtContent>
    </w:sdt>
    <w:p w14:paraId="760639ED" w14:textId="2D34D4EA" w:rsidR="00975AC0" w:rsidRPr="005933F6" w:rsidRDefault="00975AC0">
      <w:pPr>
        <w:rPr>
          <w:lang w:val="en-GB"/>
        </w:rPr>
      </w:pPr>
    </w:p>
    <w:p w14:paraId="4FF2A64E" w14:textId="77777777" w:rsidR="00975AC0" w:rsidRPr="005933F6" w:rsidRDefault="00975AC0" w:rsidP="00975AC0">
      <w:pPr>
        <w:rPr>
          <w:lang w:val="en-GB"/>
        </w:rPr>
      </w:pPr>
    </w:p>
    <w:p w14:paraId="5DDC2D60" w14:textId="77777777" w:rsidR="00975AC0" w:rsidRPr="005933F6" w:rsidRDefault="00975AC0" w:rsidP="00975AC0">
      <w:pPr>
        <w:rPr>
          <w:lang w:val="en-GB"/>
        </w:rPr>
      </w:pPr>
    </w:p>
    <w:p w14:paraId="594F98B5" w14:textId="08D16CF3" w:rsidR="004C684D" w:rsidRPr="005933F6" w:rsidRDefault="004C684D" w:rsidP="004C684D">
      <w:pPr>
        <w:rPr>
          <w:lang w:val="en-GB"/>
        </w:rPr>
      </w:pPr>
    </w:p>
    <w:p w14:paraId="7B55825A" w14:textId="77777777" w:rsidR="00F431BE" w:rsidRPr="005933F6" w:rsidRDefault="00F431BE" w:rsidP="004C684D">
      <w:pPr>
        <w:rPr>
          <w:lang w:val="en-GB"/>
        </w:rPr>
        <w:sectPr w:rsidR="00F431BE" w:rsidRPr="005933F6" w:rsidSect="00975AC0">
          <w:footerReference w:type="default" r:id="rId8"/>
          <w:headerReference w:type="first" r:id="rId9"/>
          <w:footerReference w:type="first" r:id="rId10"/>
          <w:pgSz w:w="11906" w:h="16838" w:code="9"/>
          <w:pgMar w:top="1440" w:right="1440" w:bottom="1440" w:left="1440" w:header="720" w:footer="720" w:gutter="0"/>
          <w:cols w:space="720"/>
          <w:titlePg/>
          <w:docGrid w:linePitch="360"/>
        </w:sectPr>
      </w:pPr>
    </w:p>
    <w:p w14:paraId="2E853BE1" w14:textId="77777777" w:rsidR="00F431BE" w:rsidRPr="005933F6" w:rsidRDefault="00F431BE" w:rsidP="00F431BE">
      <w:pPr>
        <w:pStyle w:val="Heading1"/>
        <w:numPr>
          <w:ilvl w:val="0"/>
          <w:numId w:val="82"/>
        </w:numPr>
      </w:pPr>
      <w:bookmarkStart w:id="0" w:name="_Toc219893718"/>
      <w:bookmarkStart w:id="1" w:name="_Toc219995091"/>
      <w:r w:rsidRPr="005933F6">
        <w:lastRenderedPageBreak/>
        <w:t>Mobility/Physical Access</w:t>
      </w:r>
      <w:bookmarkEnd w:id="0"/>
      <w:bookmarkEnd w:id="1"/>
    </w:p>
    <w:tbl>
      <w:tblPr>
        <w:tblStyle w:val="GridTable1Light"/>
        <w:tblW w:w="15451" w:type="dxa"/>
        <w:tblInd w:w="-714" w:type="dxa"/>
        <w:tblLook w:val="04A0" w:firstRow="1" w:lastRow="0" w:firstColumn="1" w:lastColumn="0" w:noHBand="0" w:noVBand="1"/>
      </w:tblPr>
      <w:tblGrid>
        <w:gridCol w:w="736"/>
        <w:gridCol w:w="4056"/>
        <w:gridCol w:w="1626"/>
        <w:gridCol w:w="3363"/>
        <w:gridCol w:w="2268"/>
        <w:gridCol w:w="3402"/>
      </w:tblGrid>
      <w:tr w:rsidR="00F431BE" w:rsidRPr="005933F6" w14:paraId="0C0F539D" w14:textId="77777777" w:rsidTr="00A370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6" w:type="dxa"/>
            <w:vAlign w:val="center"/>
            <w:hideMark/>
          </w:tcPr>
          <w:p w14:paraId="4856FF14" w14:textId="77777777" w:rsidR="00F431BE" w:rsidRPr="005933F6" w:rsidRDefault="00F431BE" w:rsidP="00A3701E">
            <w:pPr>
              <w:spacing w:after="160" w:line="278" w:lineRule="auto"/>
              <w:jc w:val="left"/>
              <w:rPr>
                <w:sz w:val="20"/>
                <w:szCs w:val="22"/>
                <w:lang w:val="en-GB"/>
              </w:rPr>
            </w:pPr>
            <w:r w:rsidRPr="005933F6">
              <w:rPr>
                <w:sz w:val="20"/>
                <w:szCs w:val="22"/>
                <w:lang w:val="en-GB"/>
              </w:rPr>
              <w:t>Type</w:t>
            </w:r>
          </w:p>
        </w:tc>
        <w:tc>
          <w:tcPr>
            <w:tcW w:w="4056" w:type="dxa"/>
            <w:vAlign w:val="center"/>
            <w:hideMark/>
          </w:tcPr>
          <w:p w14:paraId="4C848206"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b w:val="0"/>
                <w:bCs w:val="0"/>
                <w:sz w:val="20"/>
                <w:szCs w:val="22"/>
                <w:lang w:val="en-GB"/>
              </w:rPr>
            </w:pPr>
            <w:r w:rsidRPr="005933F6">
              <w:rPr>
                <w:sz w:val="20"/>
                <w:szCs w:val="22"/>
                <w:lang w:val="en-GB"/>
              </w:rPr>
              <w:t>Solution &amp; Description</w:t>
            </w:r>
            <w:r w:rsidRPr="005933F6">
              <w:rPr>
                <w:b w:val="0"/>
                <w:bCs w:val="0"/>
                <w:sz w:val="20"/>
                <w:szCs w:val="22"/>
                <w:lang w:val="en-GB"/>
              </w:rPr>
              <w:t xml:space="preserve"> </w:t>
            </w:r>
            <w:r w:rsidRPr="005933F6">
              <w:rPr>
                <w:sz w:val="20"/>
                <w:szCs w:val="22"/>
                <w:lang w:val="en-GB"/>
              </w:rPr>
              <w:t>(Barrier Addressed)</w:t>
            </w:r>
          </w:p>
        </w:tc>
        <w:tc>
          <w:tcPr>
            <w:tcW w:w="1626" w:type="dxa"/>
            <w:vAlign w:val="center"/>
            <w:hideMark/>
          </w:tcPr>
          <w:p w14:paraId="127CFF44"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Implementation Difficulty</w:t>
            </w:r>
          </w:p>
        </w:tc>
        <w:tc>
          <w:tcPr>
            <w:tcW w:w="3363" w:type="dxa"/>
            <w:vAlign w:val="center"/>
            <w:hideMark/>
          </w:tcPr>
          <w:p w14:paraId="60599A6F"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Obstacles/Barriers to Implementation</w:t>
            </w:r>
          </w:p>
        </w:tc>
        <w:tc>
          <w:tcPr>
            <w:tcW w:w="2268" w:type="dxa"/>
            <w:vAlign w:val="center"/>
            <w:hideMark/>
          </w:tcPr>
          <w:p w14:paraId="68868025"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Cost (Estimate)</w:t>
            </w:r>
          </w:p>
        </w:tc>
        <w:tc>
          <w:tcPr>
            <w:tcW w:w="3402" w:type="dxa"/>
            <w:vAlign w:val="center"/>
            <w:hideMark/>
          </w:tcPr>
          <w:p w14:paraId="0AEEF3E5"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Regulatory/Historic Preservation Issues</w:t>
            </w:r>
          </w:p>
        </w:tc>
      </w:tr>
      <w:tr w:rsidR="00F431BE" w:rsidRPr="005933F6" w14:paraId="5C88C148"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3076316"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0D710D8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Portable or threshold ramps to overcome small steps</w:t>
            </w:r>
            <w:r w:rsidRPr="005933F6">
              <w:rPr>
                <w:sz w:val="20"/>
                <w:szCs w:val="22"/>
                <w:lang w:val="en-GB"/>
              </w:rPr>
              <w:t>: Temporary lightweight ramps placed over single steps or thresholds to allow wheelchair access to entrances. Addresses the barrier of steps/thresholds blocking wheelchair users.</w:t>
            </w:r>
          </w:p>
        </w:tc>
        <w:tc>
          <w:tcPr>
            <w:tcW w:w="1626" w:type="dxa"/>
            <w:hideMark/>
          </w:tcPr>
          <w:p w14:paraId="4521836F"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just purchase or construct and deploy as needed.</w:t>
            </w:r>
          </w:p>
        </w:tc>
        <w:tc>
          <w:tcPr>
            <w:tcW w:w="3363" w:type="dxa"/>
            <w:hideMark/>
          </w:tcPr>
          <w:p w14:paraId="31BC0F6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Must have staff available to deploy if not left in place; ensure ramp is stable and meets safety (right slope, non-slip). Minor cost may still be an issue for very tight budgets.</w:t>
            </w:r>
          </w:p>
        </w:tc>
        <w:tc>
          <w:tcPr>
            <w:tcW w:w="2268" w:type="dxa"/>
            <w:hideMark/>
          </w:tcPr>
          <w:p w14:paraId="16A84A6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Few hundred euros for a standard portable ramp (approx. €100–€400).</w:t>
            </w:r>
          </w:p>
        </w:tc>
        <w:tc>
          <w:tcPr>
            <w:tcW w:w="3402" w:type="dxa"/>
            <w:hideMark/>
          </w:tcPr>
          <w:p w14:paraId="513AEC51"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permanent alteration, so usually no heritage approval needed. Ensure it does not violate fire egress paths.</w:t>
            </w:r>
          </w:p>
        </w:tc>
      </w:tr>
      <w:tr w:rsidR="00F431BE" w:rsidRPr="005933F6" w14:paraId="07E0A2C2"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056BC98A"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131F7992" w14:textId="06F5B91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Rearrange furniture and displays for clear pathways</w:t>
            </w:r>
            <w:r w:rsidRPr="005933F6">
              <w:rPr>
                <w:sz w:val="20"/>
                <w:szCs w:val="22"/>
                <w:lang w:val="en-GB"/>
              </w:rPr>
              <w:t xml:space="preserve">: Reposition or remove obstacles (furniture, stands) to widen routes and allow wheelchair </w:t>
            </w:r>
            <w:r w:rsidR="005933F6" w:rsidRPr="005933F6">
              <w:rPr>
                <w:sz w:val="20"/>
                <w:szCs w:val="22"/>
                <w:lang w:val="en-GB"/>
              </w:rPr>
              <w:t>manoeuvring</w:t>
            </w:r>
            <w:r w:rsidRPr="005933F6">
              <w:rPr>
                <w:sz w:val="20"/>
                <w:szCs w:val="22"/>
                <w:lang w:val="en-GB"/>
              </w:rPr>
              <w:t>. Addresses barriers of narrow passageways and tight spaces.</w:t>
            </w:r>
          </w:p>
        </w:tc>
        <w:tc>
          <w:tcPr>
            <w:tcW w:w="1626" w:type="dxa"/>
            <w:hideMark/>
          </w:tcPr>
          <w:p w14:paraId="39877FA0"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involves staff effort, no construction.</w:t>
            </w:r>
          </w:p>
        </w:tc>
        <w:tc>
          <w:tcPr>
            <w:tcW w:w="3363" w:type="dxa"/>
            <w:hideMark/>
          </w:tcPr>
          <w:p w14:paraId="1E37EFB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May require storage space for removed items; need to maintain aesthetics and function after rearrangement.</w:t>
            </w:r>
          </w:p>
        </w:tc>
        <w:tc>
          <w:tcPr>
            <w:tcW w:w="2268" w:type="dxa"/>
            <w:hideMark/>
          </w:tcPr>
          <w:p w14:paraId="62F35FF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direct cost (staff time only).</w:t>
            </w:r>
          </w:p>
        </w:tc>
        <w:tc>
          <w:tcPr>
            <w:tcW w:w="3402" w:type="dxa"/>
            <w:hideMark/>
          </w:tcPr>
          <w:p w14:paraId="2DB4B06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regulatory issues – non-invasive change.</w:t>
            </w:r>
          </w:p>
        </w:tc>
      </w:tr>
      <w:tr w:rsidR="00F431BE" w:rsidRPr="005933F6" w14:paraId="3A37518D"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FD0B48F"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14ABA1C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Add temporary wooden ramps during open hours</w:t>
            </w:r>
            <w:r w:rsidRPr="005933F6">
              <w:rPr>
                <w:sz w:val="20"/>
                <w:szCs w:val="22"/>
                <w:lang w:val="en-GB"/>
              </w:rPr>
              <w:t>: Use custom-fit wooden ramps on historic steps that can be laid down when the site is open and removed after. Addresses stepped entrances while preserving original steps outside opening hours.</w:t>
            </w:r>
          </w:p>
        </w:tc>
        <w:tc>
          <w:tcPr>
            <w:tcW w:w="1626" w:type="dxa"/>
            <w:hideMark/>
          </w:tcPr>
          <w:p w14:paraId="17690763"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requires crafting a sturdy ramp to fit the steps; staff must deploy it daily.</w:t>
            </w:r>
          </w:p>
        </w:tc>
        <w:tc>
          <w:tcPr>
            <w:tcW w:w="3363" w:type="dxa"/>
            <w:hideMark/>
          </w:tcPr>
          <w:p w14:paraId="334D2321"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Storage space for the ramp when not in use; ensuring ramp stability and weight capacity; need to convince heritage authorities of its reversibility.</w:t>
            </w:r>
          </w:p>
        </w:tc>
        <w:tc>
          <w:tcPr>
            <w:tcW w:w="2268" w:type="dxa"/>
            <w:hideMark/>
          </w:tcPr>
          <w:p w14:paraId="31496B60"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Material and </w:t>
            </w:r>
            <w:proofErr w:type="spellStart"/>
            <w:r w:rsidRPr="005933F6">
              <w:rPr>
                <w:sz w:val="20"/>
                <w:szCs w:val="22"/>
                <w:lang w:val="en-GB"/>
              </w:rPr>
              <w:t>labor</w:t>
            </w:r>
            <w:proofErr w:type="spellEnd"/>
            <w:r w:rsidRPr="005933F6">
              <w:rPr>
                <w:sz w:val="20"/>
                <w:szCs w:val="22"/>
                <w:lang w:val="en-GB"/>
              </w:rPr>
              <w:t xml:space="preserve"> to build a custom ramp – on the order of a few hundred euros, depending on size.</w:t>
            </w:r>
          </w:p>
        </w:tc>
        <w:tc>
          <w:tcPr>
            <w:tcW w:w="3402" w:type="dxa"/>
            <w:hideMark/>
          </w:tcPr>
          <w:p w14:paraId="68A9192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Since it's removable and doesn’t permanently alter the structure, heritage impact is minimal.</w:t>
            </w:r>
          </w:p>
        </w:tc>
      </w:tr>
      <w:tr w:rsidR="00F431BE" w:rsidRPr="005933F6" w14:paraId="0F9E1455"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77405A46"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7AD4174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Install doorbell or call system for assistance</w:t>
            </w:r>
            <w:r w:rsidRPr="005933F6">
              <w:rPr>
                <w:sz w:val="20"/>
                <w:szCs w:val="22"/>
                <w:lang w:val="en-GB"/>
              </w:rPr>
              <w:t>: Place a doorbell or intercom at an inaccessible entrance so visitors can request help or ramp deployment. Addresses the barrier of closed heavy doors or entrance steps that prevent independent entry.</w:t>
            </w:r>
          </w:p>
        </w:tc>
        <w:tc>
          <w:tcPr>
            <w:tcW w:w="1626" w:type="dxa"/>
            <w:hideMark/>
          </w:tcPr>
          <w:p w14:paraId="358DF5B5"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a simple device installation.</w:t>
            </w:r>
          </w:p>
        </w:tc>
        <w:tc>
          <w:tcPr>
            <w:tcW w:w="3363" w:type="dxa"/>
            <w:hideMark/>
          </w:tcPr>
          <w:p w14:paraId="2217DE6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Staff must be trained to respond promptly; requires electricity or battery maintenance for the device.</w:t>
            </w:r>
          </w:p>
        </w:tc>
        <w:tc>
          <w:tcPr>
            <w:tcW w:w="2268" w:type="dxa"/>
            <w:hideMark/>
          </w:tcPr>
          <w:p w14:paraId="08BC9B85"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Minimal cost (a basic wireless doorbell system is under €50).</w:t>
            </w:r>
          </w:p>
        </w:tc>
        <w:tc>
          <w:tcPr>
            <w:tcW w:w="3402" w:type="dxa"/>
            <w:hideMark/>
          </w:tcPr>
          <w:p w14:paraId="46A6FF5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heritage interference (small device attachment).</w:t>
            </w:r>
          </w:p>
        </w:tc>
      </w:tr>
      <w:tr w:rsidR="00F431BE" w:rsidRPr="005933F6" w14:paraId="7A2F80BD"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3E7EBA0D"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Quick Win</w:t>
            </w:r>
          </w:p>
        </w:tc>
        <w:tc>
          <w:tcPr>
            <w:tcW w:w="4056" w:type="dxa"/>
            <w:hideMark/>
          </w:tcPr>
          <w:p w14:paraId="1EB44EE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Lowered reception counter or alternate service desk</w:t>
            </w:r>
            <w:r w:rsidRPr="005933F6">
              <w:rPr>
                <w:sz w:val="20"/>
                <w:szCs w:val="22"/>
                <w:lang w:val="en-GB"/>
              </w:rPr>
              <w:t>: Provide a section of the front desk at wheelchair height, or a separate low table for transactions. Addresses the barrier of high counters that wheelchair users or shorter visitors cannot use comfortably.</w:t>
            </w:r>
          </w:p>
        </w:tc>
        <w:tc>
          <w:tcPr>
            <w:tcW w:w="1626" w:type="dxa"/>
            <w:hideMark/>
          </w:tcPr>
          <w:p w14:paraId="0643C70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to Moderate – could be as simple as adding a small table.</w:t>
            </w:r>
          </w:p>
        </w:tc>
        <w:tc>
          <w:tcPr>
            <w:tcW w:w="3363" w:type="dxa"/>
            <w:hideMark/>
          </w:tcPr>
          <w:p w14:paraId="7136A8C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Space needed to add a second lower desk; if modifying historic furniture, must use reversible alterations; staff need to adapt to using the new service point.</w:t>
            </w:r>
          </w:p>
        </w:tc>
        <w:tc>
          <w:tcPr>
            <w:tcW w:w="2268" w:type="dxa"/>
            <w:hideMark/>
          </w:tcPr>
          <w:p w14:paraId="58F61A09"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If adding a ready-made desk, a few hundred euros; built-in counter modification could be €500–€1.000.</w:t>
            </w:r>
          </w:p>
        </w:tc>
        <w:tc>
          <w:tcPr>
            <w:tcW w:w="3402" w:type="dxa"/>
            <w:hideMark/>
          </w:tcPr>
          <w:p w14:paraId="74519E3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Usually none – it’s furniture. If the counter is a protected historic fixture, may need permission to alter it, so using a removable solution is preferable.</w:t>
            </w:r>
          </w:p>
        </w:tc>
      </w:tr>
      <w:tr w:rsidR="00F431BE" w:rsidRPr="005933F6" w14:paraId="409C68D9"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0B6ACE12"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1B70425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Additional seating and rest areas</w:t>
            </w:r>
            <w:r w:rsidRPr="005933F6">
              <w:rPr>
                <w:sz w:val="20"/>
                <w:szCs w:val="22"/>
                <w:lang w:val="en-GB"/>
              </w:rPr>
              <w:t>: Place benches or foldable chairs at intervals so visitors with mobility impairments can rest. Addresses the barrier of fatigue and inability to stand or walk long distances without a break.</w:t>
            </w:r>
          </w:p>
        </w:tc>
        <w:tc>
          <w:tcPr>
            <w:tcW w:w="1626" w:type="dxa"/>
            <w:hideMark/>
          </w:tcPr>
          <w:p w14:paraId="3CACAC43"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just acquire and place seating.</w:t>
            </w:r>
          </w:p>
        </w:tc>
        <w:tc>
          <w:tcPr>
            <w:tcW w:w="3363" w:type="dxa"/>
            <w:hideMark/>
          </w:tcPr>
          <w:p w14:paraId="47595ED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Needs adequate space along routes; must ensure seats don’t block pathways or exits.</w:t>
            </w:r>
          </w:p>
        </w:tc>
        <w:tc>
          <w:tcPr>
            <w:tcW w:w="2268" w:type="dxa"/>
            <w:hideMark/>
          </w:tcPr>
          <w:p w14:paraId="4A97D8B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a basic bench or portable chair can be €50–€200 each.</w:t>
            </w:r>
          </w:p>
        </w:tc>
        <w:tc>
          <w:tcPr>
            <w:tcW w:w="3402" w:type="dxa"/>
            <w:hideMark/>
          </w:tcPr>
          <w:p w14:paraId="3E6194F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permanent changes, thus no regulatory issues. Ensure style/appearance of added seating is acceptable in historic interiors or landscapes.</w:t>
            </w:r>
          </w:p>
        </w:tc>
      </w:tr>
      <w:tr w:rsidR="00F431BE" w:rsidRPr="005933F6" w14:paraId="324E0578"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B6F319C"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03CF134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Designated accessible parking or drop-off point</w:t>
            </w:r>
            <w:r w:rsidRPr="005933F6">
              <w:rPr>
                <w:sz w:val="20"/>
                <w:szCs w:val="22"/>
                <w:lang w:val="en-GB"/>
              </w:rPr>
              <w:t>: Reserve a nearby parking space for disabled visitors or create a drop-off zone at the entrance. Addresses the barrier of distant or inaccessible parking for those with limited mobility.</w:t>
            </w:r>
          </w:p>
        </w:tc>
        <w:tc>
          <w:tcPr>
            <w:tcW w:w="1626" w:type="dxa"/>
            <w:hideMark/>
          </w:tcPr>
          <w:p w14:paraId="3A2349F5"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requires signage and repainting ground markings.</w:t>
            </w:r>
          </w:p>
        </w:tc>
        <w:tc>
          <w:tcPr>
            <w:tcW w:w="3363" w:type="dxa"/>
            <w:hideMark/>
          </w:tcPr>
          <w:p w14:paraId="76D91A8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May require coordination with local authorities if on a public street; enforcement is needed so the space is used only by those who need it.</w:t>
            </w:r>
          </w:p>
        </w:tc>
        <w:tc>
          <w:tcPr>
            <w:tcW w:w="2268" w:type="dxa"/>
            <w:hideMark/>
          </w:tcPr>
          <w:p w14:paraId="01DCE8FF"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low – signage and paint typically under €100–€200 total.</w:t>
            </w:r>
          </w:p>
        </w:tc>
        <w:tc>
          <w:tcPr>
            <w:tcW w:w="3402" w:type="dxa"/>
            <w:hideMark/>
          </w:tcPr>
          <w:p w14:paraId="12E33AA8"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If on private property, no issue; changes to public parking may need municipal approval. No impact on historic fabric.</w:t>
            </w:r>
          </w:p>
        </w:tc>
      </w:tr>
      <w:tr w:rsidR="00F431BE" w:rsidRPr="005933F6" w14:paraId="6A2C5C8D"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76348D2E"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59190D9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Loaner wheelchairs or mobility aids available</w:t>
            </w:r>
            <w:r w:rsidRPr="005933F6">
              <w:rPr>
                <w:sz w:val="20"/>
                <w:szCs w:val="22"/>
                <w:lang w:val="en-GB"/>
              </w:rPr>
              <w:t>: Keep a manual wheelchair (or mobility scooter) on-site for visitors who need assistance with distance or stamina. Addresses the barrier of visitors who do not have their own mobility device or who tire easily.</w:t>
            </w:r>
          </w:p>
        </w:tc>
        <w:tc>
          <w:tcPr>
            <w:tcW w:w="1626" w:type="dxa"/>
            <w:hideMark/>
          </w:tcPr>
          <w:p w14:paraId="312AC7F3"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requires obtaining equipment and training staff on its use and safety.</w:t>
            </w:r>
          </w:p>
        </w:tc>
        <w:tc>
          <w:tcPr>
            <w:tcW w:w="3363" w:type="dxa"/>
            <w:hideMark/>
          </w:tcPr>
          <w:p w14:paraId="51457F4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Requires maintenance (keep tires inflated, parts working); need cleaning between uses; storage space; ensure availability when needed (can’t have all loaners in use if multiple visitors need them).</w:t>
            </w:r>
          </w:p>
        </w:tc>
        <w:tc>
          <w:tcPr>
            <w:tcW w:w="2268" w:type="dxa"/>
            <w:hideMark/>
          </w:tcPr>
          <w:p w14:paraId="7231BEDB"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A basic wheelchair is €300–€500; a mobility scooter €1.000+ if provided. Could seek donations or sponsorships to cover cost.</w:t>
            </w:r>
          </w:p>
        </w:tc>
        <w:tc>
          <w:tcPr>
            <w:tcW w:w="3402" w:type="dxa"/>
            <w:hideMark/>
          </w:tcPr>
          <w:p w14:paraId="7973CA7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regulatory barriers; this is a service amenity. (Ensure liability insurance covers use of loaned equipment.)</w:t>
            </w:r>
          </w:p>
        </w:tc>
      </w:tr>
      <w:tr w:rsidR="00F431BE" w:rsidRPr="005933F6" w14:paraId="66B635D8"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2E77526"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Quick Win</w:t>
            </w:r>
          </w:p>
        </w:tc>
        <w:tc>
          <w:tcPr>
            <w:tcW w:w="4056" w:type="dxa"/>
            <w:hideMark/>
          </w:tcPr>
          <w:p w14:paraId="44860A2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Minor maintenance fixes improving safety</w:t>
            </w:r>
            <w:r w:rsidRPr="005933F6">
              <w:rPr>
                <w:sz w:val="20"/>
                <w:szCs w:val="22"/>
                <w:lang w:val="en-GB"/>
              </w:rPr>
              <w:t>: Immediately fix issues like broken handrails, loose flooring, or burnt-out lights. Addresses barriers that pose hazards or impede movement.</w:t>
            </w:r>
          </w:p>
        </w:tc>
        <w:tc>
          <w:tcPr>
            <w:tcW w:w="1626" w:type="dxa"/>
            <w:hideMark/>
          </w:tcPr>
          <w:p w14:paraId="65410BE1"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routine maintenance work.</w:t>
            </w:r>
          </w:p>
        </w:tc>
        <w:tc>
          <w:tcPr>
            <w:tcW w:w="3363" w:type="dxa"/>
            <w:hideMark/>
          </w:tcPr>
          <w:p w14:paraId="0B71A50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Needs prioritization in maintenance schedule; negligible obstacles aside from scheduling and budgeting the small repairs.</w:t>
            </w:r>
          </w:p>
        </w:tc>
        <w:tc>
          <w:tcPr>
            <w:tcW w:w="2268" w:type="dxa"/>
            <w:hideMark/>
          </w:tcPr>
          <w:p w14:paraId="21D50C2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e.g. replacing a light or repairing a handrail is often under €100 in materials (</w:t>
            </w:r>
            <w:proofErr w:type="spellStart"/>
            <w:r w:rsidRPr="005933F6">
              <w:rPr>
                <w:sz w:val="20"/>
                <w:szCs w:val="22"/>
                <w:lang w:val="en-GB"/>
              </w:rPr>
              <w:t>labor</w:t>
            </w:r>
            <w:proofErr w:type="spellEnd"/>
            <w:r w:rsidRPr="005933F6">
              <w:rPr>
                <w:sz w:val="20"/>
                <w:szCs w:val="22"/>
                <w:lang w:val="en-GB"/>
              </w:rPr>
              <w:t xml:space="preserve"> may be in-house).</w:t>
            </w:r>
          </w:p>
        </w:tc>
        <w:tc>
          <w:tcPr>
            <w:tcW w:w="3402" w:type="dxa"/>
            <w:hideMark/>
          </w:tcPr>
          <w:p w14:paraId="053F413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Generally required by safety regulations to fix such hazards; no conflict with preservation if it’s restoring original function.</w:t>
            </w:r>
          </w:p>
        </w:tc>
      </w:tr>
      <w:tr w:rsidR="00F431BE" w:rsidRPr="005933F6" w14:paraId="52B6D596"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773C8F42"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6950D77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Alternate accessible route using existing service entrances</w:t>
            </w:r>
            <w:r w:rsidRPr="005933F6">
              <w:rPr>
                <w:sz w:val="20"/>
                <w:szCs w:val="22"/>
                <w:lang w:val="en-GB"/>
              </w:rPr>
              <w:t>: Identify if a side or back entrance without steps exists and allow visitors with disabilities to use it. Add signs or staff assistance as needed. Addresses the barrier of a main entrance with stairs by providing a step-free route.</w:t>
            </w:r>
          </w:p>
        </w:tc>
        <w:tc>
          <w:tcPr>
            <w:tcW w:w="1626" w:type="dxa"/>
            <w:hideMark/>
          </w:tcPr>
          <w:p w14:paraId="5D6750F0"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mainly a policy change and adding directional signage.</w:t>
            </w:r>
          </w:p>
        </w:tc>
        <w:tc>
          <w:tcPr>
            <w:tcW w:w="3363" w:type="dxa"/>
            <w:hideMark/>
          </w:tcPr>
          <w:p w14:paraId="5F98FD6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Might require staff to escort or unlock these routes; these entrances may need minor improvements (lighting, a small threshold ramp, etc.) to be truly accessible.</w:t>
            </w:r>
          </w:p>
        </w:tc>
        <w:tc>
          <w:tcPr>
            <w:tcW w:w="2268" w:type="dxa"/>
            <w:hideMark/>
          </w:tcPr>
          <w:p w14:paraId="0B3F0A3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Negligible cost, aside from signage or a minor fix like a threshold wedge (under €100).</w:t>
            </w:r>
          </w:p>
        </w:tc>
        <w:tc>
          <w:tcPr>
            <w:tcW w:w="3402" w:type="dxa"/>
            <w:hideMark/>
          </w:tcPr>
          <w:p w14:paraId="0C772AE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Heritage authorities often prefer using existing openings rather than altering a main façade. Must ensure the route meets safety requirements (e.g., is an emergency exit if being used for entry).</w:t>
            </w:r>
          </w:p>
        </w:tc>
      </w:tr>
      <w:tr w:rsidR="00F431BE" w:rsidRPr="005933F6" w14:paraId="44646AED"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B2CAF43"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0C4C7A08"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Permanent ramps integrated into site</w:t>
            </w:r>
            <w:r w:rsidRPr="005933F6">
              <w:rPr>
                <w:sz w:val="20"/>
                <w:szCs w:val="22"/>
                <w:lang w:val="en-GB"/>
              </w:rPr>
              <w:t>: Construct permanent sloped ramps to replace or bypass stairs at entrances or within the site. Ensures wheelchair and stroller access over elevation changes.</w:t>
            </w:r>
          </w:p>
        </w:tc>
        <w:tc>
          <w:tcPr>
            <w:tcW w:w="1626" w:type="dxa"/>
            <w:hideMark/>
          </w:tcPr>
          <w:p w14:paraId="6CF22C77"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requires design, construction, and potentially significant structural alteration.</w:t>
            </w:r>
          </w:p>
        </w:tc>
        <w:tc>
          <w:tcPr>
            <w:tcW w:w="3363" w:type="dxa"/>
            <w:hideMark/>
          </w:tcPr>
          <w:p w14:paraId="21A0CDD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Heritage approval can be a major obstacle if altering a historic structure’s appearance; need sufficient space to achieve a gentle slope; construction may disrupt operations; funding for construction can be significant.</w:t>
            </w:r>
          </w:p>
        </w:tc>
        <w:tc>
          <w:tcPr>
            <w:tcW w:w="2268" w:type="dxa"/>
            <w:hideMark/>
          </w:tcPr>
          <w:p w14:paraId="3105674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to High – ranges from €1.000 for a small concrete ramp to €10.000+ for large or complex ramps (especially if custom-designed to blend).</w:t>
            </w:r>
          </w:p>
        </w:tc>
        <w:tc>
          <w:tcPr>
            <w:tcW w:w="3402" w:type="dxa"/>
            <w:hideMark/>
          </w:tcPr>
          <w:p w14:paraId="3757F525"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Often needs building permits; on protected sites, ramp design/material must be sympathetic to the historic aesthetic. Sometimes required by law unless technically infeasible, but any alteration to a landmark may require special consent.</w:t>
            </w:r>
          </w:p>
        </w:tc>
      </w:tr>
      <w:tr w:rsidR="00F431BE" w:rsidRPr="005933F6" w14:paraId="4B88AA8B"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5B66E1CF"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14F1A8A1"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Elevators or platform lifts</w:t>
            </w:r>
            <w:r w:rsidRPr="005933F6">
              <w:rPr>
                <w:sz w:val="20"/>
                <w:szCs w:val="22"/>
                <w:lang w:val="en-GB"/>
              </w:rPr>
              <w:t>: Install elevators (vertical lifts) or inclined platform lifts on stairs to provide wheelchair access between floors. Addresses the barrier of multi-story buildings or elevated exhibit areas that are otherwise inaccessible.</w:t>
            </w:r>
          </w:p>
        </w:tc>
        <w:tc>
          <w:tcPr>
            <w:tcW w:w="1626" w:type="dxa"/>
            <w:hideMark/>
          </w:tcPr>
          <w:p w14:paraId="15DEE795"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High – a major project requiring architects, engineers, and substantial construction.</w:t>
            </w:r>
          </w:p>
        </w:tc>
        <w:tc>
          <w:tcPr>
            <w:tcW w:w="3363" w:type="dxa"/>
            <w:hideMark/>
          </w:tcPr>
          <w:p w14:paraId="2366F05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Significant funding needed; structural feasibility concerns in old buildings (may need to reinforce floors or create shafts); lengthy approval process (especially if the building is landmarked); ongoing maintenance and operating costs are considerable.</w:t>
            </w:r>
          </w:p>
        </w:tc>
        <w:tc>
          <w:tcPr>
            <w:tcW w:w="2268" w:type="dxa"/>
            <w:hideMark/>
          </w:tcPr>
          <w:p w14:paraId="3F1FB9D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Elevator installations typically cost tens of thousands of euros (e.g. €20.000–€50.000+ depending on height). Platform stair lifts can range €5.000–€15.000.</w:t>
            </w:r>
          </w:p>
        </w:tc>
        <w:tc>
          <w:tcPr>
            <w:tcW w:w="3402" w:type="dxa"/>
            <w:hideMark/>
          </w:tcPr>
          <w:p w14:paraId="3F2A0ED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Building permit required. In historic buildings, installers must avoid irreparable alterations. May be exempted or allowed alternative compliance if standard elevators would destroy features.</w:t>
            </w:r>
          </w:p>
        </w:tc>
      </w:tr>
      <w:tr w:rsidR="00F431BE" w:rsidRPr="005933F6" w14:paraId="199A7BAA" w14:textId="77777777" w:rsidTr="00F431BE">
        <w:trPr>
          <w:trHeight w:val="1801"/>
        </w:trPr>
        <w:tc>
          <w:tcPr>
            <w:cnfStyle w:val="001000000000" w:firstRow="0" w:lastRow="0" w:firstColumn="1" w:lastColumn="0" w:oddVBand="0" w:evenVBand="0" w:oddHBand="0" w:evenHBand="0" w:firstRowFirstColumn="0" w:firstRowLastColumn="0" w:lastRowFirstColumn="0" w:lastRowLastColumn="0"/>
            <w:tcW w:w="736" w:type="dxa"/>
            <w:hideMark/>
          </w:tcPr>
          <w:p w14:paraId="55037F2C"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Long-Term</w:t>
            </w:r>
          </w:p>
        </w:tc>
        <w:tc>
          <w:tcPr>
            <w:tcW w:w="4056" w:type="dxa"/>
            <w:hideMark/>
          </w:tcPr>
          <w:p w14:paraId="02328B5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Widening doorways and passages</w:t>
            </w:r>
            <w:r w:rsidRPr="005933F6">
              <w:rPr>
                <w:sz w:val="20"/>
                <w:szCs w:val="22"/>
                <w:lang w:val="en-GB"/>
              </w:rPr>
              <w:t>: Enlarge narrow doorways/hallways to at least 90 cm width for wheelchair access. Addresses the barrier of constricted passages that wheelchairs or mobility aids cannot pass through.</w:t>
            </w:r>
          </w:p>
        </w:tc>
        <w:tc>
          <w:tcPr>
            <w:tcW w:w="1626" w:type="dxa"/>
            <w:hideMark/>
          </w:tcPr>
          <w:p w14:paraId="681724BF"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involves structural modifications</w:t>
            </w:r>
          </w:p>
        </w:tc>
        <w:tc>
          <w:tcPr>
            <w:tcW w:w="3363" w:type="dxa"/>
            <w:hideMark/>
          </w:tcPr>
          <w:p w14:paraId="5AE9A56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Potential loss of historic material and architectural symmetry; structural reinforcements; construction dust/ noise; need to temporarily close areas during work.</w:t>
            </w:r>
          </w:p>
        </w:tc>
        <w:tc>
          <w:tcPr>
            <w:tcW w:w="2268" w:type="dxa"/>
            <w:hideMark/>
          </w:tcPr>
          <w:p w14:paraId="507C48F9" w14:textId="21A2C530"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roughly €1.000–€5.000 per doorway, depending on wall material plus costs of skilled labour.</w:t>
            </w:r>
          </w:p>
        </w:tc>
        <w:tc>
          <w:tcPr>
            <w:tcW w:w="3402" w:type="dxa"/>
            <w:hideMark/>
          </w:tcPr>
          <w:p w14:paraId="4B085465"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Approvals needed especially in historic buildings; changes to original fabric may be denied. If widening is infeasible, might designate an alternate accessible entrance instead.</w:t>
            </w:r>
          </w:p>
        </w:tc>
      </w:tr>
      <w:tr w:rsidR="00F431BE" w:rsidRPr="005933F6" w14:paraId="1E4BC890"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5686DB7C"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0E9EFCC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Accessible restroom construction or overhaul</w:t>
            </w:r>
            <w:r w:rsidRPr="005933F6">
              <w:rPr>
                <w:sz w:val="20"/>
                <w:szCs w:val="22"/>
                <w:lang w:val="en-GB"/>
              </w:rPr>
              <w:t>: Build or renovate restrooms to be wheelchair-accessible (adequate turning space, grab bars, accessible fixtures). Addresses the barrier of toilets unusable by wheelchair users or those who need assistive facilities.</w:t>
            </w:r>
          </w:p>
        </w:tc>
        <w:tc>
          <w:tcPr>
            <w:tcW w:w="1626" w:type="dxa"/>
            <w:hideMark/>
          </w:tcPr>
          <w:p w14:paraId="0453A115"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potentially requires major plumbing work and reconfiguration of partitions.</w:t>
            </w:r>
          </w:p>
        </w:tc>
        <w:tc>
          <w:tcPr>
            <w:tcW w:w="3363" w:type="dxa"/>
            <w:hideMark/>
          </w:tcPr>
          <w:p w14:paraId="175746B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Space constraints in older buildings (may need to convert an adjacent room or combine two small WCs into one); temporary loss of restroom service during construction; securing budget for a renovation.</w:t>
            </w:r>
          </w:p>
        </w:tc>
        <w:tc>
          <w:tcPr>
            <w:tcW w:w="2268" w:type="dxa"/>
            <w:hideMark/>
          </w:tcPr>
          <w:p w14:paraId="0A41D5FF" w14:textId="4A3A16F0"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Several thousand euros – minor retrofits could be a few hundred, but constructing a brand-new accessible WC or extensive remodelling can be €5.000–€10,000.</w:t>
            </w:r>
          </w:p>
        </w:tc>
        <w:tc>
          <w:tcPr>
            <w:tcW w:w="3402" w:type="dxa"/>
            <w:hideMark/>
          </w:tcPr>
          <w:p w14:paraId="1ABB4B7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Building codes often mandate an accessible toilet in public venues; in historic sites, the challenge is finding a location that can be adapted without altering architecture. Often external modular accessible restrooms are added to avoid impacting the interior.</w:t>
            </w:r>
          </w:p>
        </w:tc>
      </w:tr>
      <w:tr w:rsidR="00F431BE" w:rsidRPr="005933F6" w14:paraId="5F20B677"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5C5A0118"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03E8EC2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Smooth, accessible pathways (outdoors or indoors)</w:t>
            </w:r>
            <w:r w:rsidRPr="005933F6">
              <w:rPr>
                <w:sz w:val="20"/>
                <w:szCs w:val="22"/>
                <w:lang w:val="en-GB"/>
              </w:rPr>
              <w:t>: Replace uneven, slippery, or gravel paths with firm, level surfaces (pavement, boardwalks). Ensures wheelchair users and those with walkers or canes can traverse the site safely.</w:t>
            </w:r>
          </w:p>
        </w:tc>
        <w:tc>
          <w:tcPr>
            <w:tcW w:w="1626" w:type="dxa"/>
            <w:hideMark/>
          </w:tcPr>
          <w:p w14:paraId="19B98139"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entails significant landscaping or flooring work, potentially over large areas.</w:t>
            </w:r>
          </w:p>
        </w:tc>
        <w:tc>
          <w:tcPr>
            <w:tcW w:w="3363" w:type="dxa"/>
            <w:hideMark/>
          </w:tcPr>
          <w:p w14:paraId="7C9F1962"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Possible impact on site drainage or archaeology when replacing ground surfaces; need appropriate materials (e.g. non-slip, weather-resistant) that blend with surroundings; funding and </w:t>
            </w:r>
            <w:proofErr w:type="spellStart"/>
            <w:r w:rsidRPr="005933F6">
              <w:rPr>
                <w:sz w:val="20"/>
                <w:szCs w:val="22"/>
                <w:lang w:val="en-GB"/>
              </w:rPr>
              <w:t>labor</w:t>
            </w:r>
            <w:proofErr w:type="spellEnd"/>
            <w:r w:rsidRPr="005933F6">
              <w:rPr>
                <w:sz w:val="20"/>
                <w:szCs w:val="22"/>
                <w:lang w:val="en-GB"/>
              </w:rPr>
              <w:t xml:space="preserve"> for potentially extensive work.</w:t>
            </w:r>
          </w:p>
        </w:tc>
        <w:tc>
          <w:tcPr>
            <w:tcW w:w="2268" w:type="dxa"/>
            <w:hideMark/>
          </w:tcPr>
          <w:p w14:paraId="7E9DAED9"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Varies widely by scope –paving an outdoor path might be €50-€100 per square meter. Long trails or courtyard can run into tens of thousands.</w:t>
            </w:r>
          </w:p>
        </w:tc>
        <w:tc>
          <w:tcPr>
            <w:tcW w:w="3402" w:type="dxa"/>
            <w:hideMark/>
          </w:tcPr>
          <w:p w14:paraId="0249AA8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May need archaeological supervision if digging in a heritage site; material choices often need approval to maintain the visual character. In some cases, only reversible solutions are allowed in sensitive areas.</w:t>
            </w:r>
          </w:p>
        </w:tc>
      </w:tr>
      <w:tr w:rsidR="00F431BE" w:rsidRPr="005933F6" w14:paraId="5F366AC3"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0504EBDF"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28D97F1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Installation of handrails and lifts on steep routes</w:t>
            </w:r>
            <w:r w:rsidRPr="005933F6">
              <w:rPr>
                <w:sz w:val="20"/>
                <w:szCs w:val="22"/>
                <w:lang w:val="en-GB"/>
              </w:rPr>
              <w:t>: Add handrails along stairs and steep ramps for stability; where stairs remain, consider a small platform lift or stairlift for accessibility. Addresses barriers for those with limited balance or strength on stairs/inclines.</w:t>
            </w:r>
          </w:p>
        </w:tc>
        <w:tc>
          <w:tcPr>
            <w:tcW w:w="1626" w:type="dxa"/>
            <w:hideMark/>
          </w:tcPr>
          <w:p w14:paraId="3AEC535E"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(rails) to High (mechanized lifts)</w:t>
            </w:r>
          </w:p>
        </w:tc>
        <w:tc>
          <w:tcPr>
            <w:tcW w:w="3363" w:type="dxa"/>
            <w:hideMark/>
          </w:tcPr>
          <w:p w14:paraId="17470CB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Aesthetic impact of new handrails on historic staircases must be appropriate; ensuring structural support for rail anchors; lifts require technical maintenance; narrow stairs might not fit a standard stairlift.</w:t>
            </w:r>
          </w:p>
        </w:tc>
        <w:tc>
          <w:tcPr>
            <w:tcW w:w="2268" w:type="dxa"/>
            <w:hideMark/>
          </w:tcPr>
          <w:p w14:paraId="1BBFEB4D"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Handrails: €50-€100 per linear meter installed, plus </w:t>
            </w:r>
            <w:proofErr w:type="spellStart"/>
            <w:r w:rsidRPr="005933F6">
              <w:rPr>
                <w:sz w:val="20"/>
                <w:szCs w:val="22"/>
                <w:lang w:val="en-GB"/>
              </w:rPr>
              <w:t>labor</w:t>
            </w:r>
            <w:proofErr w:type="spellEnd"/>
            <w:r w:rsidRPr="005933F6">
              <w:rPr>
                <w:sz w:val="20"/>
                <w:szCs w:val="22"/>
                <w:lang w:val="en-GB"/>
              </w:rPr>
              <w:t>. Short platform lifts or stairlift can be €4.000–€10.000.</w:t>
            </w:r>
          </w:p>
        </w:tc>
        <w:tc>
          <w:tcPr>
            <w:tcW w:w="3402" w:type="dxa"/>
            <w:hideMark/>
          </w:tcPr>
          <w:p w14:paraId="2CB2B78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Often permissible if done sensitively – e.g., using removable or minimally invasive mounting for rails. Stairlifts may need approval; in some cases, only certain models or </w:t>
            </w:r>
            <w:proofErr w:type="spellStart"/>
            <w:r w:rsidRPr="005933F6">
              <w:rPr>
                <w:sz w:val="20"/>
                <w:szCs w:val="22"/>
                <w:lang w:val="en-GB"/>
              </w:rPr>
              <w:t>color</w:t>
            </w:r>
            <w:proofErr w:type="spellEnd"/>
            <w:r w:rsidRPr="005933F6">
              <w:rPr>
                <w:sz w:val="20"/>
                <w:szCs w:val="22"/>
                <w:lang w:val="en-GB"/>
              </w:rPr>
              <w:t xml:space="preserve"> schemes are allowed to blend in.</w:t>
            </w:r>
          </w:p>
        </w:tc>
      </w:tr>
      <w:tr w:rsidR="00F431BE" w:rsidRPr="005933F6" w14:paraId="6A5B3DC3"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5AA9CB2"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Long-Term</w:t>
            </w:r>
          </w:p>
        </w:tc>
        <w:tc>
          <w:tcPr>
            <w:tcW w:w="4056" w:type="dxa"/>
            <w:hideMark/>
          </w:tcPr>
          <w:p w14:paraId="3D4A3B0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Accessible site transport or shuttles</w:t>
            </w:r>
            <w:r w:rsidRPr="005933F6">
              <w:rPr>
                <w:sz w:val="20"/>
                <w:szCs w:val="22"/>
                <w:lang w:val="en-GB"/>
              </w:rPr>
              <w:t>: Provide a wheelchair-accessible shuttle or golf cart for large sites (e.g., an open-air museum or a hilltop fortress). Addresses the barrier of long distances or steep terrain that some visitors cannot handle on foot.</w:t>
            </w:r>
          </w:p>
        </w:tc>
        <w:tc>
          <w:tcPr>
            <w:tcW w:w="1626" w:type="dxa"/>
            <w:hideMark/>
          </w:tcPr>
          <w:p w14:paraId="63C801CA"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involves purchasing vehicles and implementing an operational plan.</w:t>
            </w:r>
          </w:p>
        </w:tc>
        <w:tc>
          <w:tcPr>
            <w:tcW w:w="3363" w:type="dxa"/>
            <w:hideMark/>
          </w:tcPr>
          <w:p w14:paraId="0AF998B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Ongoing operational costs (fuel/electric charging, driver wages); vehicle storage and maintenance; need clear communication so visitors know how to request or use the shuttle; limited seating means it might only serve a few visitors at a time.</w:t>
            </w:r>
          </w:p>
        </w:tc>
        <w:tc>
          <w:tcPr>
            <w:tcW w:w="2268" w:type="dxa"/>
            <w:hideMark/>
          </w:tcPr>
          <w:p w14:paraId="2463B73D"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initial cost – e.g., a modified electric golf cart or small van with a ramp could be €10.000–€20.000. Operating costs are ongoing.</w:t>
            </w:r>
          </w:p>
        </w:tc>
        <w:tc>
          <w:tcPr>
            <w:tcW w:w="3402" w:type="dxa"/>
            <w:hideMark/>
          </w:tcPr>
          <w:p w14:paraId="20795915"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Vehicle use might be restricted in certain heritage areas. Emissions-free electric vehicles are usually preferred to reduce pollution in sensitive sites. Ensure paths can accommodate the vehicle without causing physical damage to historic surfaces.</w:t>
            </w:r>
          </w:p>
        </w:tc>
      </w:tr>
    </w:tbl>
    <w:p w14:paraId="6E84FC35" w14:textId="77777777" w:rsidR="00F431BE" w:rsidRPr="005933F6" w:rsidRDefault="00F431BE" w:rsidP="00F431BE">
      <w:pPr>
        <w:rPr>
          <w:lang w:val="en-GB"/>
        </w:rPr>
      </w:pPr>
      <w:bookmarkStart w:id="2" w:name="_Toc219893719"/>
    </w:p>
    <w:p w14:paraId="495D5873" w14:textId="3C218F58" w:rsidR="00F431BE" w:rsidRPr="005933F6" w:rsidRDefault="00F431BE" w:rsidP="00F431BE">
      <w:pPr>
        <w:pStyle w:val="Heading1"/>
        <w:numPr>
          <w:ilvl w:val="0"/>
          <w:numId w:val="82"/>
        </w:numPr>
      </w:pPr>
      <w:bookmarkStart w:id="3" w:name="_Toc219995092"/>
      <w:r w:rsidRPr="005933F6">
        <w:t>Visual Access</w:t>
      </w:r>
      <w:bookmarkEnd w:id="2"/>
      <w:bookmarkEnd w:id="3"/>
    </w:p>
    <w:tbl>
      <w:tblPr>
        <w:tblStyle w:val="GridTable1Light"/>
        <w:tblW w:w="15451" w:type="dxa"/>
        <w:tblInd w:w="-714" w:type="dxa"/>
        <w:tblLook w:val="04A0" w:firstRow="1" w:lastRow="0" w:firstColumn="1" w:lastColumn="0" w:noHBand="0" w:noVBand="1"/>
      </w:tblPr>
      <w:tblGrid>
        <w:gridCol w:w="736"/>
        <w:gridCol w:w="4056"/>
        <w:gridCol w:w="1626"/>
        <w:gridCol w:w="3363"/>
        <w:gridCol w:w="2268"/>
        <w:gridCol w:w="3402"/>
      </w:tblGrid>
      <w:tr w:rsidR="00F431BE" w:rsidRPr="005933F6" w14:paraId="70842726" w14:textId="77777777" w:rsidTr="00A370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6" w:type="dxa"/>
            <w:hideMark/>
          </w:tcPr>
          <w:p w14:paraId="1D172239" w14:textId="77777777" w:rsidR="00F431BE" w:rsidRPr="005933F6" w:rsidRDefault="00F431BE" w:rsidP="00A3701E">
            <w:pPr>
              <w:spacing w:after="160" w:line="278" w:lineRule="auto"/>
              <w:jc w:val="left"/>
              <w:rPr>
                <w:sz w:val="20"/>
                <w:szCs w:val="22"/>
                <w:lang w:val="en-GB"/>
              </w:rPr>
            </w:pPr>
            <w:r w:rsidRPr="005933F6">
              <w:rPr>
                <w:sz w:val="20"/>
                <w:szCs w:val="22"/>
                <w:lang w:val="en-GB"/>
              </w:rPr>
              <w:t>Type</w:t>
            </w:r>
          </w:p>
        </w:tc>
        <w:tc>
          <w:tcPr>
            <w:tcW w:w="4056" w:type="dxa"/>
            <w:hideMark/>
          </w:tcPr>
          <w:p w14:paraId="1B88B482"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b w:val="0"/>
                <w:bCs w:val="0"/>
                <w:sz w:val="20"/>
                <w:szCs w:val="22"/>
                <w:lang w:val="en-GB"/>
              </w:rPr>
            </w:pPr>
            <w:r w:rsidRPr="005933F6">
              <w:rPr>
                <w:sz w:val="20"/>
                <w:szCs w:val="22"/>
                <w:lang w:val="en-GB"/>
              </w:rPr>
              <w:t>Solution &amp; Description</w:t>
            </w:r>
            <w:r w:rsidRPr="005933F6">
              <w:rPr>
                <w:b w:val="0"/>
                <w:bCs w:val="0"/>
                <w:sz w:val="20"/>
                <w:szCs w:val="22"/>
                <w:lang w:val="en-GB"/>
              </w:rPr>
              <w:t xml:space="preserve"> </w:t>
            </w:r>
            <w:r w:rsidRPr="005933F6">
              <w:rPr>
                <w:sz w:val="20"/>
                <w:szCs w:val="22"/>
                <w:lang w:val="en-GB"/>
              </w:rPr>
              <w:t>(Barrier Addressed)</w:t>
            </w:r>
          </w:p>
        </w:tc>
        <w:tc>
          <w:tcPr>
            <w:tcW w:w="1626" w:type="dxa"/>
            <w:hideMark/>
          </w:tcPr>
          <w:p w14:paraId="6681A3DC"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Implementation Difficulty</w:t>
            </w:r>
          </w:p>
        </w:tc>
        <w:tc>
          <w:tcPr>
            <w:tcW w:w="3363" w:type="dxa"/>
            <w:hideMark/>
          </w:tcPr>
          <w:p w14:paraId="16781773"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Obstacles/Barriers to Implementation</w:t>
            </w:r>
          </w:p>
        </w:tc>
        <w:tc>
          <w:tcPr>
            <w:tcW w:w="2268" w:type="dxa"/>
            <w:hideMark/>
          </w:tcPr>
          <w:p w14:paraId="1828592B"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Cost (Estimate)</w:t>
            </w:r>
          </w:p>
        </w:tc>
        <w:tc>
          <w:tcPr>
            <w:tcW w:w="3402" w:type="dxa"/>
            <w:hideMark/>
          </w:tcPr>
          <w:p w14:paraId="5EF1778C"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Regulatory/Historic Preservation Issues</w:t>
            </w:r>
          </w:p>
        </w:tc>
      </w:tr>
      <w:tr w:rsidR="00F431BE" w:rsidRPr="005933F6" w14:paraId="68AE63ED"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18DECF39"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36C07F45"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Braille labels and brochures for key information</w:t>
            </w:r>
            <w:r w:rsidRPr="005933F6">
              <w:rPr>
                <w:sz w:val="20"/>
                <w:szCs w:val="22"/>
                <w:lang w:val="en-GB"/>
              </w:rPr>
              <w:t>: Add Braille overlays or stickers to important signs (room names, exhibit labels) and print a few brochures in Braille. Addresses the barrier of blind visitors unable to read standard signage or printed materials.</w:t>
            </w:r>
          </w:p>
        </w:tc>
        <w:tc>
          <w:tcPr>
            <w:tcW w:w="1626" w:type="dxa"/>
            <w:hideMark/>
          </w:tcPr>
          <w:p w14:paraId="11DF5170"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can be done by ordering Braille stickers or plates; text can be sent to a Braille printer.</w:t>
            </w:r>
          </w:p>
        </w:tc>
        <w:tc>
          <w:tcPr>
            <w:tcW w:w="3363" w:type="dxa"/>
            <w:hideMark/>
          </w:tcPr>
          <w:p w14:paraId="3F43E13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Requires translation of text to Braille and quality checking (need someone who reads Braille to proof); low usage might make it seem low priority to some, but it significantly helps those who need it.</w:t>
            </w:r>
          </w:p>
        </w:tc>
        <w:tc>
          <w:tcPr>
            <w:tcW w:w="2268" w:type="dxa"/>
            <w:hideMark/>
          </w:tcPr>
          <w:p w14:paraId="2A240FA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Braille adhesive labels or plaques might be €5–€20 each; embossing a brochure €1–€3 per page.</w:t>
            </w:r>
          </w:p>
        </w:tc>
        <w:tc>
          <w:tcPr>
            <w:tcW w:w="3402" w:type="dxa"/>
            <w:hideMark/>
          </w:tcPr>
          <w:p w14:paraId="4478C871"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conflict – adding Braille doesn’t alter structures. Use gentle adhesives or mounted holders to avoid damage to walls. Ensure Braille signage is placed at reachable heights and doesn’t protrude into walkways.</w:t>
            </w:r>
          </w:p>
        </w:tc>
      </w:tr>
      <w:tr w:rsidR="00F431BE" w:rsidRPr="005933F6" w14:paraId="04CA409E"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053C62E1"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78A9F4C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Large-print and high-contrast printed materials</w:t>
            </w:r>
            <w:r w:rsidRPr="005933F6">
              <w:rPr>
                <w:sz w:val="20"/>
                <w:szCs w:val="22"/>
                <w:lang w:val="en-GB"/>
              </w:rPr>
              <w:t xml:space="preserve">: Offer exhibition texts, maps or brochures in large print (e.g. 18+ point font) and ensure signage uses high-contrast </w:t>
            </w:r>
            <w:proofErr w:type="spellStart"/>
            <w:r w:rsidRPr="005933F6">
              <w:rPr>
                <w:sz w:val="20"/>
                <w:szCs w:val="22"/>
                <w:lang w:val="en-GB"/>
              </w:rPr>
              <w:t>colors</w:t>
            </w:r>
            <w:proofErr w:type="spellEnd"/>
            <w:r w:rsidRPr="005933F6">
              <w:rPr>
                <w:sz w:val="20"/>
                <w:szCs w:val="22"/>
                <w:lang w:val="en-GB"/>
              </w:rPr>
              <w:t>. Addresses the barrier of low-vision visitors struggling to read small or low-contrast text.</w:t>
            </w:r>
          </w:p>
        </w:tc>
        <w:tc>
          <w:tcPr>
            <w:tcW w:w="1626" w:type="dxa"/>
            <w:hideMark/>
          </w:tcPr>
          <w:p w14:paraId="2B215CFA"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reformat existing text and print on larger paper; update or replace labels with better text contrast and size</w:t>
            </w:r>
          </w:p>
        </w:tc>
        <w:tc>
          <w:tcPr>
            <w:tcW w:w="3363" w:type="dxa"/>
            <w:hideMark/>
          </w:tcPr>
          <w:p w14:paraId="39F8AA1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Design effort to ensure layout remains clear when magnified; need to keep multiple formats (standard and large-print) available and updated in parallel when content changes.</w:t>
            </w:r>
          </w:p>
        </w:tc>
        <w:tc>
          <w:tcPr>
            <w:tcW w:w="2268" w:type="dxa"/>
            <w:hideMark/>
          </w:tcPr>
          <w:p w14:paraId="13A1912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Minimal – printing large-print handouts costs a few cents per page. Replacing a sign with a high-contrast version might be €20–€100 each</w:t>
            </w:r>
          </w:p>
        </w:tc>
        <w:tc>
          <w:tcPr>
            <w:tcW w:w="3402" w:type="dxa"/>
            <w:hideMark/>
          </w:tcPr>
          <w:p w14:paraId="3849DDA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No regulatory issues; it’s an informational enhancement. Just maintain the site’s visual style (e.g., use contrasting </w:t>
            </w:r>
            <w:proofErr w:type="spellStart"/>
            <w:r w:rsidRPr="005933F6">
              <w:rPr>
                <w:sz w:val="20"/>
                <w:szCs w:val="22"/>
                <w:lang w:val="en-GB"/>
              </w:rPr>
              <w:t>colors</w:t>
            </w:r>
            <w:proofErr w:type="spellEnd"/>
            <w:r w:rsidRPr="005933F6">
              <w:rPr>
                <w:sz w:val="20"/>
                <w:szCs w:val="22"/>
                <w:lang w:val="en-GB"/>
              </w:rPr>
              <w:t xml:space="preserve"> that are tasteful and not overly intrusive).</w:t>
            </w:r>
          </w:p>
        </w:tc>
      </w:tr>
      <w:tr w:rsidR="00F431BE" w:rsidRPr="005933F6" w14:paraId="1856DDA2"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5E1DB028"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Quick Win</w:t>
            </w:r>
          </w:p>
        </w:tc>
        <w:tc>
          <w:tcPr>
            <w:tcW w:w="4056" w:type="dxa"/>
            <w:hideMark/>
          </w:tcPr>
          <w:p w14:paraId="33FBE8A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Improve exhibit lighting for visibility</w:t>
            </w:r>
            <w:r w:rsidRPr="005933F6">
              <w:rPr>
                <w:sz w:val="20"/>
                <w:szCs w:val="22"/>
                <w:lang w:val="en-GB"/>
              </w:rPr>
              <w:t>: Increase lighting levels or add adjustable lamps to dim areas; use focused lighting on text panels. Addresses the barrier of poor visibility for low-vision visitors (and indeed all visitors in dark areas).</w:t>
            </w:r>
          </w:p>
        </w:tc>
        <w:tc>
          <w:tcPr>
            <w:tcW w:w="1626" w:type="dxa"/>
            <w:hideMark/>
          </w:tcPr>
          <w:p w14:paraId="62199E71"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replacing bulbs with brighter ones or adding plug-in spotlight fixtures;</w:t>
            </w:r>
          </w:p>
        </w:tc>
        <w:tc>
          <w:tcPr>
            <w:tcW w:w="3363" w:type="dxa"/>
            <w:hideMark/>
          </w:tcPr>
          <w:p w14:paraId="0BE04958"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Need to ensure additional light doesn’t harm light-sensitive artifacts (must work with conservators); might require running discreet cables if adding lamps; avoid glare in display cases by aiming lights carefully.</w:t>
            </w:r>
          </w:p>
        </w:tc>
        <w:tc>
          <w:tcPr>
            <w:tcW w:w="2268" w:type="dxa"/>
            <w:hideMark/>
          </w:tcPr>
          <w:p w14:paraId="366A64D9"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e.g. swapping to higher lumen LED bulbs or adding track lights might cost €100–€300 total. If electrical wiring is needed, costs rise</w:t>
            </w:r>
          </w:p>
        </w:tc>
        <w:tc>
          <w:tcPr>
            <w:tcW w:w="3402" w:type="dxa"/>
            <w:hideMark/>
          </w:tcPr>
          <w:p w14:paraId="2AABB54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Generally, none. In historic interiors, use existing light fixture locations to avoid new wiring on historic surfaces. Any new lighting apparatus should be as reversible as possible</w:t>
            </w:r>
          </w:p>
        </w:tc>
      </w:tr>
      <w:tr w:rsidR="00F431BE" w:rsidRPr="005933F6" w14:paraId="6946AD85"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57814C18"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1651100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Offer basic audio descriptions of exhibits</w:t>
            </w:r>
            <w:r w:rsidRPr="005933F6">
              <w:rPr>
                <w:sz w:val="20"/>
                <w:szCs w:val="22"/>
                <w:lang w:val="en-GB"/>
              </w:rPr>
              <w:t>: Provide oral descriptions of visual content – e.g. an audio guide track or staff/volunteer-led descriptions for key exhibits. Addresses the barrier that blind visitors miss information conveyed only visually.</w:t>
            </w:r>
          </w:p>
        </w:tc>
        <w:tc>
          <w:tcPr>
            <w:tcW w:w="1626" w:type="dxa"/>
            <w:hideMark/>
          </w:tcPr>
          <w:p w14:paraId="3EE1D309"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to Moderate –scripting, recording audio, or training guides</w:t>
            </w:r>
          </w:p>
        </w:tc>
        <w:tc>
          <w:tcPr>
            <w:tcW w:w="3363" w:type="dxa"/>
            <w:hideMark/>
          </w:tcPr>
          <w:p w14:paraId="7869D3F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Requires expertise to create good descriptions; need a way to deliver audio (visitors’ smartphones or a simple MP3 player rental); ensuring availability on demand might be challenging.</w:t>
            </w:r>
          </w:p>
        </w:tc>
        <w:tc>
          <w:tcPr>
            <w:tcW w:w="2268" w:type="dxa"/>
            <w:hideMark/>
          </w:tcPr>
          <w:p w14:paraId="0EF5807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if using existing staff and visitor devices. Audio player system or app would be a few hundred to a few thousand euros.</w:t>
            </w:r>
          </w:p>
        </w:tc>
        <w:tc>
          <w:tcPr>
            <w:tcW w:w="3402" w:type="dxa"/>
            <w:hideMark/>
          </w:tcPr>
          <w:p w14:paraId="7B4D8DD2"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physical changes. Just ensure any audio delivery method doesn’t disturb other visitors (use headphones or one-on-one narration). If using an app or devices, ensure they are accessible (e.g., easy to operate without sight).</w:t>
            </w:r>
          </w:p>
        </w:tc>
      </w:tr>
      <w:tr w:rsidR="00F431BE" w:rsidRPr="005933F6" w14:paraId="266D5247"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577BA773"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3DD3C25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Provide magnifiers or tactile reading aids</w:t>
            </w:r>
            <w:r w:rsidRPr="005933F6">
              <w:rPr>
                <w:sz w:val="20"/>
                <w:szCs w:val="22"/>
                <w:lang w:val="en-GB"/>
              </w:rPr>
              <w:t>: Have handheld magnifying lenses or sheet magnifiers available at the info desk for visitors with low vision. Addresses the barrier of small print or fine details being hard to see.</w:t>
            </w:r>
          </w:p>
        </w:tc>
        <w:tc>
          <w:tcPr>
            <w:tcW w:w="1626" w:type="dxa"/>
            <w:hideMark/>
          </w:tcPr>
          <w:p w14:paraId="7FD35C1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purchase some magnifiers and let visitors borrow them.</w:t>
            </w:r>
          </w:p>
        </w:tc>
        <w:tc>
          <w:tcPr>
            <w:tcW w:w="3363" w:type="dxa"/>
            <w:hideMark/>
          </w:tcPr>
          <w:p w14:paraId="6A80F26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Magnifiers can be misplaced or scratched; need a checkout system (e.g., hold an ID) to encourage returns; staff must remember to offer them.</w:t>
            </w:r>
          </w:p>
        </w:tc>
        <w:tc>
          <w:tcPr>
            <w:tcW w:w="2268" w:type="dxa"/>
            <w:hideMark/>
          </w:tcPr>
          <w:p w14:paraId="426D8E4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low – decent handheld magnifiers might be €10–€20 each. Even a few on hand keeps cost under €100.</w:t>
            </w:r>
          </w:p>
          <w:p w14:paraId="6FE0A359"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p>
        </w:tc>
        <w:tc>
          <w:tcPr>
            <w:tcW w:w="3402" w:type="dxa"/>
            <w:hideMark/>
          </w:tcPr>
          <w:p w14:paraId="17E77B2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issues. (Optional: label them as property of the site so they don’t walk away easily.) Clean lenses regularly.</w:t>
            </w:r>
          </w:p>
        </w:tc>
      </w:tr>
      <w:tr w:rsidR="00F431BE" w:rsidRPr="005933F6" w14:paraId="66EECCF6"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AFA3AF8"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7CB5196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Mark hazards and level changes with high contrast</w:t>
            </w:r>
            <w:r w:rsidRPr="005933F6">
              <w:rPr>
                <w:sz w:val="20"/>
                <w:szCs w:val="22"/>
                <w:lang w:val="en-GB"/>
              </w:rPr>
              <w:t>: Apply high-contrast tape or paint on the edges of steps, ramps, or any sudden drop/rise, and mark clear glass doors or panels with decals. Addresses the barrier of low-vision visitors failing to detect edges or transparent obstacles (also prevents accidents).</w:t>
            </w:r>
          </w:p>
        </w:tc>
        <w:tc>
          <w:tcPr>
            <w:tcW w:w="1626" w:type="dxa"/>
            <w:hideMark/>
          </w:tcPr>
          <w:p w14:paraId="4A9B7D8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–apply durable tape or adhesive strips; a strip of paint on edges. For glass doors, a strip at eye level.</w:t>
            </w:r>
          </w:p>
        </w:tc>
        <w:tc>
          <w:tcPr>
            <w:tcW w:w="3363" w:type="dxa"/>
            <w:hideMark/>
          </w:tcPr>
          <w:p w14:paraId="4A2C3F7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Needs periodic replacement if tape peels or wears; must use methods that do not permanently mar historic materials (e.g., reversible adhesive on stone). Aesthetic concern – tape/paint should be chosen to be effective yet not too garish in a historic setting.</w:t>
            </w:r>
          </w:p>
        </w:tc>
        <w:tc>
          <w:tcPr>
            <w:tcW w:w="2268" w:type="dxa"/>
            <w:hideMark/>
          </w:tcPr>
          <w:p w14:paraId="1E8CCA99"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Negligible – a roll of anti-slip high-visibility tape or a can of paint is €10–€50. Glass door stickers with patterns cost a few euros each.</w:t>
            </w:r>
          </w:p>
        </w:tc>
        <w:tc>
          <w:tcPr>
            <w:tcW w:w="3402" w:type="dxa"/>
            <w:hideMark/>
          </w:tcPr>
          <w:p w14:paraId="1A4512C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Generally allowed as a safety measure. In highly protected interiors, consult conservationists for least intrusive option. Safety regulations often </w:t>
            </w:r>
            <w:r w:rsidRPr="005933F6">
              <w:rPr>
                <w:i/>
                <w:iCs/>
                <w:sz w:val="20"/>
                <w:szCs w:val="22"/>
                <w:lang w:val="en-GB"/>
              </w:rPr>
              <w:t>require</w:t>
            </w:r>
            <w:r w:rsidRPr="005933F6">
              <w:rPr>
                <w:sz w:val="20"/>
                <w:szCs w:val="22"/>
                <w:lang w:val="en-GB"/>
              </w:rPr>
              <w:t xml:space="preserve"> marking glass and steps, so this usually aligns with codes.</w:t>
            </w:r>
          </w:p>
        </w:tc>
      </w:tr>
      <w:tr w:rsidR="00F431BE" w:rsidRPr="005933F6" w14:paraId="18B38925"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7239E3B0"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Long-Term</w:t>
            </w:r>
          </w:p>
        </w:tc>
        <w:tc>
          <w:tcPr>
            <w:tcW w:w="4056" w:type="dxa"/>
            <w:hideMark/>
          </w:tcPr>
          <w:p w14:paraId="31E0CD7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Tactile maps and scale models of site or exhibits</w:t>
            </w:r>
            <w:r w:rsidRPr="005933F6">
              <w:rPr>
                <w:sz w:val="20"/>
                <w:szCs w:val="22"/>
                <w:lang w:val="en-GB"/>
              </w:rPr>
              <w:t>: Create raised-line maps of the venue layout and 3D scale models of important objects or buildings for tactile exploration. Allows blind or low-vision visitors to orient themselves and understand visual features through touch.</w:t>
            </w:r>
          </w:p>
        </w:tc>
        <w:tc>
          <w:tcPr>
            <w:tcW w:w="1626" w:type="dxa"/>
            <w:hideMark/>
          </w:tcPr>
          <w:p w14:paraId="1837829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requires design and production of durable tactile materials; need input from blind users to ensure readability</w:t>
            </w:r>
          </w:p>
        </w:tc>
        <w:tc>
          <w:tcPr>
            <w:tcW w:w="3363" w:type="dxa"/>
            <w:hideMark/>
          </w:tcPr>
          <w:p w14:paraId="24996FF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Finding skilled fabricators (3D printing services, model makers); need to decide what scale/models are most useful (too much detail can overwhelm); tactile pieces must be sturdy and possibly secured to prevent theft; space needed to display maps/models at an accessible height.</w:t>
            </w:r>
          </w:p>
        </w:tc>
        <w:tc>
          <w:tcPr>
            <w:tcW w:w="2268" w:type="dxa"/>
            <w:hideMark/>
          </w:tcPr>
          <w:p w14:paraId="4F0F425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to High – a bronze or resin outdoor tactile map can be €2.000+; smaller indoor artifacts might be a few hundred euros each, but large or models could be thousands.</w:t>
            </w:r>
          </w:p>
          <w:p w14:paraId="2D69F8EE"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p>
        </w:tc>
        <w:tc>
          <w:tcPr>
            <w:tcW w:w="3402" w:type="dxa"/>
            <w:hideMark/>
          </w:tcPr>
          <w:p w14:paraId="557F88E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Typically encouraged rather than hindered. For outdoor installation, you may need permission to install. Models of artifacts usually pose no preservation issue since they are separate objects – just ensure they are clearly marked as replicas and not original pieces.</w:t>
            </w:r>
          </w:p>
        </w:tc>
      </w:tr>
      <w:tr w:rsidR="00F431BE" w:rsidRPr="005933F6" w14:paraId="513BF51A"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3AA0FCA6"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4D094C9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Comprehensive Braille and audio guide system</w:t>
            </w:r>
            <w:r w:rsidRPr="005933F6">
              <w:rPr>
                <w:sz w:val="20"/>
                <w:szCs w:val="22"/>
                <w:lang w:val="en-GB"/>
              </w:rPr>
              <w:t>: A full audio guide covering all exhibits and provide corresponding Braille labels or booklets. Addresses independently accessing information for blind and low-vision visitors.</w:t>
            </w:r>
          </w:p>
        </w:tc>
        <w:tc>
          <w:tcPr>
            <w:tcW w:w="1626" w:type="dxa"/>
            <w:hideMark/>
          </w:tcPr>
          <w:p w14:paraId="78CBFFFD"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extensive content and distributing devices or an app; translating.</w:t>
            </w:r>
          </w:p>
        </w:tc>
        <w:tc>
          <w:tcPr>
            <w:tcW w:w="3363" w:type="dxa"/>
            <w:hideMark/>
          </w:tcPr>
          <w:p w14:paraId="4528838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Large content creation effort; ensuring the audio stays in sync with exhibit layout; supplying devices vs. expecting visitors to use their own smartphones. Braille for all exhibits can be bulky.</w:t>
            </w:r>
          </w:p>
        </w:tc>
        <w:tc>
          <w:tcPr>
            <w:tcW w:w="2268" w:type="dxa"/>
            <w:hideMark/>
          </w:tcPr>
          <w:p w14:paraId="43D9F367"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–audio production could be €5.000–€15.000 for a museum’s content. If providing audio guide devices: €50–€200 each.</w:t>
            </w:r>
          </w:p>
          <w:p w14:paraId="3E4A73D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p>
        </w:tc>
        <w:tc>
          <w:tcPr>
            <w:tcW w:w="3402" w:type="dxa"/>
            <w:hideMark/>
          </w:tcPr>
          <w:p w14:paraId="494AAF82"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heritage concerns since this doesn’t alter the building, aside from possibly mounting a few discreet audio guide sign indicators or holders for Braille booklets. Ensure Braille materials are kept updated when exhibits rotate.</w:t>
            </w:r>
          </w:p>
        </w:tc>
      </w:tr>
      <w:tr w:rsidR="00F431BE" w:rsidRPr="005933F6" w14:paraId="469EFE6C"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0436CF59"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45BD4832"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Guidance via tactile flooring or beacon systems</w:t>
            </w:r>
            <w:r w:rsidRPr="005933F6">
              <w:rPr>
                <w:sz w:val="20"/>
                <w:szCs w:val="22"/>
                <w:lang w:val="en-GB"/>
              </w:rPr>
              <w:t>: Install tactile ground surface indicators (textured paving strips) leading to key areas (entrances, elevators, info desk), or deploy a Bluetooth beacon navigation system that works with a smartphone app to give audio directions to blind visitors. Addresses the barrier of independent wayfinding in complex spaces.</w:t>
            </w:r>
          </w:p>
        </w:tc>
        <w:tc>
          <w:tcPr>
            <w:tcW w:w="1626" w:type="dxa"/>
            <w:hideMark/>
          </w:tcPr>
          <w:p w14:paraId="09878F3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physical installation of tactile paving requires altering flooring; a beacon system requires tech infrastructure and mapping.</w:t>
            </w:r>
          </w:p>
        </w:tc>
        <w:tc>
          <w:tcPr>
            <w:tcW w:w="3363" w:type="dxa"/>
            <w:hideMark/>
          </w:tcPr>
          <w:p w14:paraId="308DFDC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Tactile paving inside historic buildings can be visually intrusive and may require adhesive or minor drilling; outdoors, it needs weatherproof installation. Beacon systems demand users have smartphones and know about the app; also need IT maintenance. Both methods need testing with actual users.</w:t>
            </w:r>
          </w:p>
        </w:tc>
        <w:tc>
          <w:tcPr>
            <w:tcW w:w="2268" w:type="dxa"/>
            <w:hideMark/>
          </w:tcPr>
          <w:p w14:paraId="524DC27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Moderate – indoor tactile guide strips are €30–€50 per meter, plus </w:t>
            </w:r>
            <w:proofErr w:type="spellStart"/>
            <w:r w:rsidRPr="005933F6">
              <w:rPr>
                <w:sz w:val="20"/>
                <w:szCs w:val="22"/>
                <w:lang w:val="en-GB"/>
              </w:rPr>
              <w:t>labor</w:t>
            </w:r>
            <w:proofErr w:type="spellEnd"/>
            <w:r w:rsidRPr="005933F6">
              <w:rPr>
                <w:sz w:val="20"/>
                <w:szCs w:val="22"/>
                <w:lang w:val="en-GB"/>
              </w:rPr>
              <w:t>. A beacon system’s hardware is €20–€50 per beacon, but app development could be €5.000-€15.000 unless using existing platform.</w:t>
            </w:r>
          </w:p>
        </w:tc>
        <w:tc>
          <w:tcPr>
            <w:tcW w:w="3402" w:type="dxa"/>
            <w:hideMark/>
          </w:tcPr>
          <w:p w14:paraId="0C2A1CC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Permanent floor modifications in historic settings usually need approval – often mitigated by using reversible solutions. Electronic beacons have no impact on the structure, but make sure they don’t interfere with other equipment. Any app should respect privacy laws and ideally be offered in the local languages and English.</w:t>
            </w:r>
          </w:p>
        </w:tc>
      </w:tr>
      <w:tr w:rsidR="00F431BE" w:rsidRPr="005933F6" w14:paraId="00F491E8"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5C933FF0"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Long-Term</w:t>
            </w:r>
          </w:p>
        </w:tc>
        <w:tc>
          <w:tcPr>
            <w:tcW w:w="4056" w:type="dxa"/>
            <w:hideMark/>
          </w:tcPr>
          <w:p w14:paraId="1808B7B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Multi-sensory exhibit enhancements (visual impairment focus)</w:t>
            </w:r>
            <w:r w:rsidRPr="005933F6">
              <w:rPr>
                <w:sz w:val="20"/>
                <w:szCs w:val="22"/>
                <w:lang w:val="en-GB"/>
              </w:rPr>
              <w:t>: Augment exhibits with other sensory modalities: e.g., include audio components describing artwork, provide tactile replicas next to original items, or incorporate scents related to the exhibit theme. This addresses the barrier of exhibits that rely solely on sight by ensuring blind visitors (and others) can engage through sound, touch, and smell.</w:t>
            </w:r>
          </w:p>
        </w:tc>
        <w:tc>
          <w:tcPr>
            <w:tcW w:w="1626" w:type="dxa"/>
            <w:hideMark/>
          </w:tcPr>
          <w:p w14:paraId="217C1BE1"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requires redesigning or retrofitting exhibits to integrate additional elements</w:t>
            </w:r>
          </w:p>
        </w:tc>
        <w:tc>
          <w:tcPr>
            <w:tcW w:w="3363" w:type="dxa"/>
            <w:hideMark/>
          </w:tcPr>
          <w:p w14:paraId="3146560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Curatorial concerns (maintaining the integrity of the exhibition narrative and protecting originals – touching originals is usually forbidden so tactile versions must be replicas); additional elements require space and upkeep; possible increased initial cost and complexity of exhibits.</w:t>
            </w:r>
          </w:p>
        </w:tc>
        <w:tc>
          <w:tcPr>
            <w:tcW w:w="2268" w:type="dxa"/>
            <w:hideMark/>
          </w:tcPr>
          <w:p w14:paraId="201963EA"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producing tactile replicas or models, installing audio systems, adding scent dispensers. A custom tactile replica could be a few hundred euros to a few thousand, depending on material and detail.</w:t>
            </w:r>
          </w:p>
          <w:p w14:paraId="725E91AB"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p>
        </w:tc>
        <w:tc>
          <w:tcPr>
            <w:tcW w:w="3402" w:type="dxa"/>
            <w:hideMark/>
          </w:tcPr>
          <w:p w14:paraId="3107527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Must ensure no damage to original artifacts. Typically, no legal barrier; heritage guidelines often allow additions if they’re reversible and don’t harm the original materials. All added components should be clearly identified and removable without trace when the exhibit is changed out.</w:t>
            </w:r>
          </w:p>
        </w:tc>
      </w:tr>
      <w:tr w:rsidR="00F431BE" w:rsidRPr="005933F6" w14:paraId="0F9D7B75"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18E147F"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02B53438"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Advanced wayfinding and information apps</w:t>
            </w:r>
            <w:r w:rsidRPr="005933F6">
              <w:rPr>
                <w:sz w:val="20"/>
                <w:szCs w:val="22"/>
                <w:lang w:val="en-GB"/>
              </w:rPr>
              <w:t>: Develop or adopt a mobile app that provides on-demand audio description for exhibits and possibly indoor navigation for the venue. Addresses the barrier of needing personal assistance to navigate or understand displays by putting more control in the visitor’s hands digitally.</w:t>
            </w:r>
          </w:p>
        </w:tc>
        <w:tc>
          <w:tcPr>
            <w:tcW w:w="1626" w:type="dxa"/>
            <w:hideMark/>
          </w:tcPr>
          <w:p w14:paraId="7CA0EC6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software development and mapping of content are required; need to integrate QR Bluetooth beacon, record all exhibits.</w:t>
            </w:r>
          </w:p>
        </w:tc>
        <w:tc>
          <w:tcPr>
            <w:tcW w:w="3363" w:type="dxa"/>
            <w:hideMark/>
          </w:tcPr>
          <w:p w14:paraId="4499539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Technical maintenance; requires marketing so visitors know the app exists (and possibly providing Wi-Fi on-site for downloading it); not all visitors will have a smartphone or be comfortable using it, so it complements but doesn’t replace physical improvements.</w:t>
            </w:r>
          </w:p>
        </w:tc>
        <w:tc>
          <w:tcPr>
            <w:tcW w:w="2268" w:type="dxa"/>
            <w:hideMark/>
          </w:tcPr>
          <w:p w14:paraId="624F4D71"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a custom app can range €10.000 upward. However, some features might be built on existing platforms or open-source tools to cut costs. Ongoing costs for updates and support should be expected.</w:t>
            </w:r>
          </w:p>
          <w:p w14:paraId="4929305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p>
        </w:tc>
        <w:tc>
          <w:tcPr>
            <w:tcW w:w="3402" w:type="dxa"/>
            <w:hideMark/>
          </w:tcPr>
          <w:p w14:paraId="4C31051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No impact on the building. Ensure compliance with privacy rules if the app uses location tracking. Also, the app </w:t>
            </w:r>
            <w:r w:rsidRPr="005933F6">
              <w:rPr>
                <w:i/>
                <w:iCs/>
                <w:sz w:val="20"/>
                <w:szCs w:val="22"/>
                <w:lang w:val="en-GB"/>
              </w:rPr>
              <w:t>itself</w:t>
            </w:r>
            <w:r w:rsidRPr="005933F6">
              <w:rPr>
                <w:sz w:val="20"/>
                <w:szCs w:val="22"/>
                <w:lang w:val="en-GB"/>
              </w:rPr>
              <w:t xml:space="preserve"> must be accessible (screen-reader friendly, etc.). From a preservation perspective, this is ideal since it improves access without touching the historic fabric, though it relies on technology availability.</w:t>
            </w:r>
          </w:p>
        </w:tc>
      </w:tr>
    </w:tbl>
    <w:p w14:paraId="6C9CADBF" w14:textId="77777777" w:rsidR="00F431BE" w:rsidRPr="005933F6" w:rsidRDefault="00F431BE" w:rsidP="00F431BE">
      <w:pPr>
        <w:rPr>
          <w:lang w:val="en-GB"/>
        </w:rPr>
      </w:pPr>
      <w:bookmarkStart w:id="4" w:name="_Toc219893720"/>
    </w:p>
    <w:p w14:paraId="2795F625" w14:textId="72A6306D" w:rsidR="00F431BE" w:rsidRPr="005933F6" w:rsidRDefault="00F431BE" w:rsidP="00F431BE">
      <w:pPr>
        <w:pStyle w:val="Heading1"/>
        <w:numPr>
          <w:ilvl w:val="0"/>
          <w:numId w:val="82"/>
        </w:numPr>
      </w:pPr>
      <w:bookmarkStart w:id="5" w:name="_Toc219995093"/>
      <w:r w:rsidRPr="005933F6">
        <w:lastRenderedPageBreak/>
        <w:t>Hearing Access</w:t>
      </w:r>
      <w:bookmarkEnd w:id="4"/>
      <w:bookmarkEnd w:id="5"/>
    </w:p>
    <w:tbl>
      <w:tblPr>
        <w:tblStyle w:val="GridTable1Light"/>
        <w:tblW w:w="15451" w:type="dxa"/>
        <w:tblInd w:w="-714" w:type="dxa"/>
        <w:tblLook w:val="04A0" w:firstRow="1" w:lastRow="0" w:firstColumn="1" w:lastColumn="0" w:noHBand="0" w:noVBand="1"/>
      </w:tblPr>
      <w:tblGrid>
        <w:gridCol w:w="1050"/>
        <w:gridCol w:w="3945"/>
        <w:gridCol w:w="1625"/>
        <w:gridCol w:w="3278"/>
        <w:gridCol w:w="2231"/>
        <w:gridCol w:w="3322"/>
      </w:tblGrid>
      <w:tr w:rsidR="00F431BE" w:rsidRPr="005933F6" w14:paraId="569D5F17" w14:textId="77777777" w:rsidTr="00A370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50" w:type="dxa"/>
            <w:hideMark/>
          </w:tcPr>
          <w:p w14:paraId="3F10BD96" w14:textId="77777777" w:rsidR="00F431BE" w:rsidRPr="005933F6" w:rsidRDefault="00F431BE" w:rsidP="00A3701E">
            <w:pPr>
              <w:spacing w:after="160" w:line="278" w:lineRule="auto"/>
              <w:jc w:val="left"/>
              <w:rPr>
                <w:sz w:val="20"/>
                <w:szCs w:val="22"/>
                <w:lang w:val="en-GB"/>
              </w:rPr>
            </w:pPr>
            <w:r w:rsidRPr="005933F6">
              <w:rPr>
                <w:sz w:val="20"/>
                <w:szCs w:val="22"/>
                <w:lang w:val="en-GB"/>
              </w:rPr>
              <w:t>Type</w:t>
            </w:r>
          </w:p>
        </w:tc>
        <w:tc>
          <w:tcPr>
            <w:tcW w:w="3945" w:type="dxa"/>
            <w:hideMark/>
          </w:tcPr>
          <w:p w14:paraId="0045FCA9"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b w:val="0"/>
                <w:bCs w:val="0"/>
                <w:sz w:val="20"/>
                <w:szCs w:val="22"/>
                <w:lang w:val="en-GB"/>
              </w:rPr>
            </w:pPr>
            <w:r w:rsidRPr="005933F6">
              <w:rPr>
                <w:sz w:val="20"/>
                <w:szCs w:val="22"/>
                <w:lang w:val="en-GB"/>
              </w:rPr>
              <w:t>Solution &amp; Description</w:t>
            </w:r>
            <w:r w:rsidRPr="005933F6">
              <w:rPr>
                <w:b w:val="0"/>
                <w:bCs w:val="0"/>
                <w:sz w:val="20"/>
                <w:szCs w:val="22"/>
                <w:lang w:val="en-GB"/>
              </w:rPr>
              <w:t xml:space="preserve"> </w:t>
            </w:r>
            <w:r w:rsidRPr="005933F6">
              <w:rPr>
                <w:sz w:val="20"/>
                <w:szCs w:val="22"/>
                <w:lang w:val="en-GB"/>
              </w:rPr>
              <w:t>(Barrier Addressed)</w:t>
            </w:r>
          </w:p>
        </w:tc>
        <w:tc>
          <w:tcPr>
            <w:tcW w:w="1625" w:type="dxa"/>
            <w:hideMark/>
          </w:tcPr>
          <w:p w14:paraId="17FA98B8"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Implementation Difficulty</w:t>
            </w:r>
          </w:p>
        </w:tc>
        <w:tc>
          <w:tcPr>
            <w:tcW w:w="3278" w:type="dxa"/>
            <w:hideMark/>
          </w:tcPr>
          <w:p w14:paraId="03C17C9A"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Obstacles/Barriers to Implementation</w:t>
            </w:r>
          </w:p>
        </w:tc>
        <w:tc>
          <w:tcPr>
            <w:tcW w:w="2231" w:type="dxa"/>
            <w:hideMark/>
          </w:tcPr>
          <w:p w14:paraId="30D5D2CE"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Cost (Estimate)</w:t>
            </w:r>
          </w:p>
        </w:tc>
        <w:tc>
          <w:tcPr>
            <w:tcW w:w="3322" w:type="dxa"/>
            <w:hideMark/>
          </w:tcPr>
          <w:p w14:paraId="1604F0FA"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Regulatory/Historic Preservation Issues</w:t>
            </w:r>
          </w:p>
        </w:tc>
      </w:tr>
      <w:tr w:rsidR="00F431BE" w:rsidRPr="005933F6" w14:paraId="238E6C4B"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6E55DF00" w14:textId="77777777" w:rsidR="00F431BE" w:rsidRPr="005933F6" w:rsidRDefault="00F431BE" w:rsidP="00A3701E">
            <w:pPr>
              <w:rPr>
                <w:sz w:val="20"/>
                <w:szCs w:val="22"/>
                <w:lang w:val="en-GB"/>
              </w:rPr>
            </w:pPr>
            <w:r w:rsidRPr="005933F6">
              <w:rPr>
                <w:sz w:val="20"/>
                <w:szCs w:val="22"/>
                <w:lang w:val="en-GB"/>
              </w:rPr>
              <w:t>Quick Win</w:t>
            </w:r>
          </w:p>
        </w:tc>
        <w:tc>
          <w:tcPr>
            <w:tcW w:w="3945" w:type="dxa"/>
            <w:hideMark/>
          </w:tcPr>
          <w:p w14:paraId="6F59078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Written transcripts or captions for audio content</w:t>
            </w:r>
            <w:r w:rsidRPr="005933F6">
              <w:rPr>
                <w:sz w:val="20"/>
                <w:szCs w:val="22"/>
                <w:lang w:val="en-GB"/>
              </w:rPr>
              <w:t>: Provide text versions of any audio announcements, exhibit audio or videos (either as on-screen captions or printed handouts). Addresses the barrier for deaf or hard-of-hearing visitors who cannot hear spoken content.</w:t>
            </w:r>
          </w:p>
        </w:tc>
        <w:tc>
          <w:tcPr>
            <w:tcW w:w="1625" w:type="dxa"/>
            <w:hideMark/>
          </w:tcPr>
          <w:p w14:paraId="45836C23"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transcripts of audio tours, recorded exhibit narrations, and/or captions to videos. A chalkboard or digital display with daily announcements.</w:t>
            </w:r>
          </w:p>
        </w:tc>
        <w:tc>
          <w:tcPr>
            <w:tcW w:w="3278" w:type="dxa"/>
            <w:hideMark/>
          </w:tcPr>
          <w:p w14:paraId="5DD8524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Requires transcription effort and possibly translation into multiple languages if you serve international visitors; must keep transcripts updated if audio content changes. For dynamic content (like a tour guide’s speech), providing a written outline or summary is an alternative if word-for-word transcripts aren’t feasible.</w:t>
            </w:r>
          </w:p>
        </w:tc>
        <w:tc>
          <w:tcPr>
            <w:tcW w:w="2231" w:type="dxa"/>
            <w:hideMark/>
          </w:tcPr>
          <w:p w14:paraId="4EDA6123"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low – mainly staff time. Professional transcription or captioning services charge modest fees (e.g., a few euros per minute of audio). Printing costs for a few paper transcripts are negligible.</w:t>
            </w:r>
          </w:p>
        </w:tc>
        <w:tc>
          <w:tcPr>
            <w:tcW w:w="3322" w:type="dxa"/>
            <w:hideMark/>
          </w:tcPr>
          <w:p w14:paraId="2ACD5DA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conflicts – improving information accessibility. Ensure that any added caption displays or signage do not block artifacts or violate aesthetic guidelines (e.g., use a freestanding caption screen next to an existing video display in a historic room, rather than mounting it on a historic wall without permission).</w:t>
            </w:r>
          </w:p>
        </w:tc>
      </w:tr>
      <w:tr w:rsidR="00F431BE" w:rsidRPr="005933F6" w14:paraId="50EC54E5"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29DD3B8F"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3945" w:type="dxa"/>
            <w:hideMark/>
          </w:tcPr>
          <w:p w14:paraId="2742AD4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Portable induction loop at service counters</w:t>
            </w:r>
            <w:r w:rsidRPr="005933F6">
              <w:rPr>
                <w:sz w:val="20"/>
                <w:szCs w:val="22"/>
                <w:lang w:val="en-GB"/>
              </w:rPr>
              <w:t>: Install a small induction loop system at the ticket or information desk so that visitors with hearing aids (on the “T” setting) can hear staff clearly without background noise. Addresses the barrier of communicating through glass or in noisy lobbies for hearing aid users.</w:t>
            </w:r>
          </w:p>
        </w:tc>
        <w:tc>
          <w:tcPr>
            <w:tcW w:w="1625" w:type="dxa"/>
            <w:hideMark/>
          </w:tcPr>
          <w:p w14:paraId="43FE257B"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many counter-loop kits are plug-and-play or require minimal installation</w:t>
            </w:r>
          </w:p>
        </w:tc>
        <w:tc>
          <w:tcPr>
            <w:tcW w:w="3278" w:type="dxa"/>
            <w:hideMark/>
          </w:tcPr>
          <w:p w14:paraId="07F0AB5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Staff must remember to speak into the connected microphone for the system to be effective; need a sign indicating the loop is available so users know to switch their hearing aid to the correct setting.</w:t>
            </w:r>
          </w:p>
        </w:tc>
        <w:tc>
          <w:tcPr>
            <w:tcW w:w="2231" w:type="dxa"/>
            <w:hideMark/>
          </w:tcPr>
          <w:p w14:paraId="36EAD3C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approximately €100–€300 for a counter induction loop kit. Even higher-end portable loops are generally &lt; €500. Often a one-time purchase.</w:t>
            </w:r>
          </w:p>
        </w:tc>
        <w:tc>
          <w:tcPr>
            <w:tcW w:w="3322" w:type="dxa"/>
            <w:hideMark/>
          </w:tcPr>
          <w:p w14:paraId="69CBF7B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heritage impact; it’s just a small electronic device. Ensure it doesn’t cause interference with any sensitive equipment (unlikely). Compliant with disability access guidelines – many countries encourage loops in public service points.</w:t>
            </w:r>
          </w:p>
        </w:tc>
      </w:tr>
      <w:tr w:rsidR="00F431BE" w:rsidRPr="005933F6" w14:paraId="1F20DEA4"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1581AE5C"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3945" w:type="dxa"/>
            <w:hideMark/>
          </w:tcPr>
          <w:p w14:paraId="2B0AB8B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Visual alert systems for emergencies</w:t>
            </w:r>
            <w:r w:rsidRPr="005933F6">
              <w:rPr>
                <w:sz w:val="20"/>
                <w:szCs w:val="22"/>
                <w:lang w:val="en-GB"/>
              </w:rPr>
              <w:t>: Ensure alarms and emergency alerts are visible as well as audible. As a quick measure, add battery-operated strobe lights or vibrating alert pagers in key areas if the existing fire alarm lacks flashing lights. Addresses the barrier that deaf visitors would not know when an alarm sounds.</w:t>
            </w:r>
          </w:p>
        </w:tc>
        <w:tc>
          <w:tcPr>
            <w:tcW w:w="1625" w:type="dxa"/>
            <w:hideMark/>
          </w:tcPr>
          <w:p w14:paraId="555E2923"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–independent strobe units are easy, but ideally tie into the building’s central alarm system.</w:t>
            </w:r>
          </w:p>
        </w:tc>
        <w:tc>
          <w:tcPr>
            <w:tcW w:w="3278" w:type="dxa"/>
            <w:hideMark/>
          </w:tcPr>
          <w:p w14:paraId="185D14E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Battery units require regular testing and battery replacement; if not integrated, staff need a procedure to manually trigger or hand out vibrating pagers for visitors who might need them. For full integration, the building’s alarm panel may need an upgrade.</w:t>
            </w:r>
          </w:p>
        </w:tc>
        <w:tc>
          <w:tcPr>
            <w:tcW w:w="2231" w:type="dxa"/>
            <w:hideMark/>
          </w:tcPr>
          <w:p w14:paraId="45F8D9E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strobes cost on the order of €50–€150 each. Vibrating pager systems - a few hundred euros for a set. Visual alarm system could be a couple of thousand euros.</w:t>
            </w:r>
          </w:p>
        </w:tc>
        <w:tc>
          <w:tcPr>
            <w:tcW w:w="3322" w:type="dxa"/>
            <w:hideMark/>
          </w:tcPr>
          <w:p w14:paraId="76CC854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Fire safety codes increasingly require visual alarms in public buildings; any new installation should comply with those standards. New wires for alarms might need careful planning – wireless strobes are an interim option. No preservation issues using temporary battery devices.</w:t>
            </w:r>
          </w:p>
        </w:tc>
      </w:tr>
      <w:tr w:rsidR="00F431BE" w:rsidRPr="005933F6" w14:paraId="74598DFE"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4B09ECC1"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Quick Win</w:t>
            </w:r>
          </w:p>
        </w:tc>
        <w:tc>
          <w:tcPr>
            <w:tcW w:w="3945" w:type="dxa"/>
            <w:hideMark/>
          </w:tcPr>
          <w:p w14:paraId="56CC844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Communication aids at information desk</w:t>
            </w:r>
            <w:r w:rsidRPr="005933F6">
              <w:rPr>
                <w:sz w:val="20"/>
                <w:szCs w:val="22"/>
                <w:lang w:val="en-GB"/>
              </w:rPr>
              <w:t>: Provide tools for basic communication with deaf or hard-of-hearing visitors – e.g., a notepad and pen, or a tablet running a speech-to-text app so staff and visitor can type back-and-forth. Addresses the barrier of difficulty conversing if a visitor uses sign language or cannot hear spoken questions.</w:t>
            </w:r>
          </w:p>
        </w:tc>
        <w:tc>
          <w:tcPr>
            <w:tcW w:w="1625" w:type="dxa"/>
            <w:hideMark/>
          </w:tcPr>
          <w:p w14:paraId="7EFB5B4D"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minimal setup (pen and paper are simplest; or a tablet with an app like Google Live Transcribe for speech-to-text).</w:t>
            </w:r>
          </w:p>
        </w:tc>
        <w:tc>
          <w:tcPr>
            <w:tcW w:w="3278" w:type="dxa"/>
            <w:hideMark/>
          </w:tcPr>
          <w:p w14:paraId="0BEA8C11"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Staff need training to be patient and use these tools; ensure the app is kept updated and the tablet charged. There may be privacy concerns using live transcription (some users might not want their conversation recorded, even temporarily). Always offer pen-paper as an option.</w:t>
            </w:r>
          </w:p>
        </w:tc>
        <w:tc>
          <w:tcPr>
            <w:tcW w:w="2231" w:type="dxa"/>
            <w:hideMark/>
          </w:tcPr>
          <w:p w14:paraId="400C1BA7"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Negligible – essentially free (notepad) or the cost of a basic tablet (€100–€200). Many speech-to-text apps are free.</w:t>
            </w:r>
          </w:p>
        </w:tc>
        <w:tc>
          <w:tcPr>
            <w:tcW w:w="3322" w:type="dxa"/>
            <w:hideMark/>
          </w:tcPr>
          <w:p w14:paraId="2B8DA75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issues; this is an operational courtesy. (If using a tablet, ensure compliance with any data protection if the app stores voice data in the cloud – generally, these apps do not save transcripts, but staff should be aware.)</w:t>
            </w:r>
          </w:p>
        </w:tc>
      </w:tr>
      <w:tr w:rsidR="00F431BE" w:rsidRPr="005933F6" w14:paraId="40DFFD38"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2AA93DDD"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3945" w:type="dxa"/>
            <w:hideMark/>
          </w:tcPr>
          <w:p w14:paraId="39B7130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Reduce background noise during tours or films</w:t>
            </w:r>
            <w:r w:rsidRPr="005933F6">
              <w:rPr>
                <w:sz w:val="20"/>
                <w:szCs w:val="22"/>
                <w:lang w:val="en-GB"/>
              </w:rPr>
              <w:t>: Lower or mute ambient music, audio displays, or HVAC noise when conducting tours or presentations. If an exhibit has loud audio, pause it when a visitor with hearing aids is using that space. Addresses the barrier of competing noise that can make it hard to discern speech or audio.</w:t>
            </w:r>
          </w:p>
        </w:tc>
        <w:tc>
          <w:tcPr>
            <w:tcW w:w="1625" w:type="dxa"/>
            <w:hideMark/>
          </w:tcPr>
          <w:p w14:paraId="3F62329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operational change to control volume levels.</w:t>
            </w:r>
          </w:p>
        </w:tc>
        <w:tc>
          <w:tcPr>
            <w:tcW w:w="3278" w:type="dxa"/>
            <w:hideMark/>
          </w:tcPr>
          <w:p w14:paraId="353C6B8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Could alter the atmosphere intended for exhibits (e.g., an exhibit’s background sound may be part of its design); requires staff attentiveness to adjust settings or provide quiet times; may inconvenience other visitors if sound is part of the experience.</w:t>
            </w:r>
          </w:p>
        </w:tc>
        <w:tc>
          <w:tcPr>
            <w:tcW w:w="2231" w:type="dxa"/>
            <w:hideMark/>
          </w:tcPr>
          <w:p w14:paraId="69F6FB1A"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direct cost. Possibly invest in remote controls or volume knobs for exhibits if not already accessible to staff (a minor expense for convenience).</w:t>
            </w:r>
          </w:p>
        </w:tc>
        <w:tc>
          <w:tcPr>
            <w:tcW w:w="3322" w:type="dxa"/>
            <w:hideMark/>
          </w:tcPr>
          <w:p w14:paraId="430C107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regulatory concerns. It’s an internal policy to be responsive to visitor needs. Just ensure any safety announcements or necessary audio cues aren’t fully disabled – balance is key (e.g., turn down music but not audible safety messages).</w:t>
            </w:r>
          </w:p>
        </w:tc>
      </w:tr>
      <w:tr w:rsidR="00F431BE" w:rsidRPr="005933F6" w14:paraId="3D738C25"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6C022755"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3945" w:type="dxa"/>
            <w:hideMark/>
          </w:tcPr>
          <w:p w14:paraId="29ABC77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Installed induction loop systems in larger spaces</w:t>
            </w:r>
            <w:r w:rsidRPr="005933F6">
              <w:rPr>
                <w:sz w:val="20"/>
                <w:szCs w:val="22"/>
                <w:lang w:val="en-GB"/>
              </w:rPr>
              <w:t>: Equip auditoriums, lecture halls or exhibit rooms with fixed induction loop wiring covering the audience area. This transmits clear sound from microphones directly to hearing aids, addressing the barrier of hearing presentations or films in echoey or large spaces.</w:t>
            </w:r>
          </w:p>
        </w:tc>
        <w:tc>
          <w:tcPr>
            <w:tcW w:w="1625" w:type="dxa"/>
            <w:hideMark/>
          </w:tcPr>
          <w:p w14:paraId="3E10D78F"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requires technical installation: a loop of wire around the room and a loop amplifier tied into the sound system.</w:t>
            </w:r>
          </w:p>
        </w:tc>
        <w:tc>
          <w:tcPr>
            <w:tcW w:w="3278" w:type="dxa"/>
            <w:hideMark/>
          </w:tcPr>
          <w:p w14:paraId="272A57E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Professional design needed to ensure even coverage and avoid dead spots; metal in building structure can interfere with loops; needs periodic maintenance and testing; staff must remember to use the PA/microphone system for it to work (no use if they just talk loudly without mic).</w:t>
            </w:r>
          </w:p>
        </w:tc>
        <w:tc>
          <w:tcPr>
            <w:tcW w:w="2231" w:type="dxa"/>
            <w:hideMark/>
          </w:tcPr>
          <w:p w14:paraId="1E7BE3CF"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for a small meeting room €500–€1.000; larger halls can run into a few thousand euros depending on size and layout complexity.</w:t>
            </w:r>
          </w:p>
        </w:tc>
        <w:tc>
          <w:tcPr>
            <w:tcW w:w="3322" w:type="dxa"/>
            <w:hideMark/>
          </w:tcPr>
          <w:p w14:paraId="11DF4555"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No heritage harm if installed carefully – wire can often be hidden along </w:t>
            </w:r>
            <w:proofErr w:type="spellStart"/>
            <w:r w:rsidRPr="005933F6">
              <w:rPr>
                <w:sz w:val="20"/>
                <w:szCs w:val="22"/>
                <w:lang w:val="en-GB"/>
              </w:rPr>
              <w:t>moldings</w:t>
            </w:r>
            <w:proofErr w:type="spellEnd"/>
            <w:r w:rsidRPr="005933F6">
              <w:rPr>
                <w:sz w:val="20"/>
                <w:szCs w:val="22"/>
                <w:lang w:val="en-GB"/>
              </w:rPr>
              <w:t xml:space="preserve"> or under carpets. In historic venues, wireless alternatives might be chosen if laying wire is too invasive. Make sure to put up the standard hearing loop symbol signs, which in some jurisdictions is also a legal requirement when you have the system.</w:t>
            </w:r>
          </w:p>
        </w:tc>
      </w:tr>
      <w:tr w:rsidR="00F431BE" w:rsidRPr="005933F6" w14:paraId="02A623CD"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14D43F1C"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Long-Term</w:t>
            </w:r>
          </w:p>
        </w:tc>
        <w:tc>
          <w:tcPr>
            <w:tcW w:w="3945" w:type="dxa"/>
            <w:hideMark/>
          </w:tcPr>
          <w:p w14:paraId="2D85DC9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Regular sign language interpretation (tours/events)</w:t>
            </w:r>
            <w:r w:rsidRPr="005933F6">
              <w:rPr>
                <w:sz w:val="20"/>
                <w:szCs w:val="22"/>
                <w:lang w:val="en-GB"/>
              </w:rPr>
              <w:t>: Offer scheduled guided tours in sign language or have an interpreter for live events and performances. Addresses the barrier of deaf visitors missing out on guided commentary or lectures.</w:t>
            </w:r>
          </w:p>
        </w:tc>
        <w:tc>
          <w:tcPr>
            <w:tcW w:w="1625" w:type="dxa"/>
            <w:hideMark/>
          </w:tcPr>
          <w:p w14:paraId="036BF79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(operationally) –hiring certified sign language interpreters or training staff members in sign.</w:t>
            </w:r>
          </w:p>
        </w:tc>
        <w:tc>
          <w:tcPr>
            <w:tcW w:w="3278" w:type="dxa"/>
            <w:hideMark/>
          </w:tcPr>
          <w:p w14:paraId="6005AC2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Ongoing cost for interpreter fees; must ensure a minimum audience or demand; need to determine which sign language to use – local national sign language for domestic visitors, and possibly International Sign or others for foreigners if relevant.</w:t>
            </w:r>
          </w:p>
        </w:tc>
        <w:tc>
          <w:tcPr>
            <w:tcW w:w="2231" w:type="dxa"/>
            <w:hideMark/>
          </w:tcPr>
          <w:p w14:paraId="54A92CC7"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ongoing expense – interpreters might charge €20–€50 per hour. Providing even one tour a week could sum to a couple thousand euros per year.</w:t>
            </w:r>
          </w:p>
        </w:tc>
        <w:tc>
          <w:tcPr>
            <w:tcW w:w="3322" w:type="dxa"/>
            <w:hideMark/>
          </w:tcPr>
          <w:p w14:paraId="7927B05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physical changes. Aligns with legal rights in many places. If it becomes a regular offering, you might be expected to continue it as a service. It’s important that quality is high (use certified interpreters) to truly benefit deaf visitors.</w:t>
            </w:r>
          </w:p>
        </w:tc>
      </w:tr>
      <w:tr w:rsidR="00F431BE" w:rsidRPr="005933F6" w14:paraId="127735DA"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3AB8298B"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3945" w:type="dxa"/>
            <w:hideMark/>
          </w:tcPr>
          <w:p w14:paraId="461E8A92"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Multilingual or sign-language video guides</w:t>
            </w:r>
            <w:r w:rsidRPr="005933F6">
              <w:rPr>
                <w:sz w:val="20"/>
                <w:szCs w:val="22"/>
                <w:lang w:val="en-GB"/>
              </w:rPr>
              <w:t>: Develop video guide content that includes a sign language interpreter on screen or use sign-language avatars for exhibits. For example, via an app or tablets, a deaf visitor can view a video of an interpreter explaining the exhibit in sign. Addresses the barrier of lack of sign language accessible information for deaf visitors.</w:t>
            </w:r>
          </w:p>
        </w:tc>
        <w:tc>
          <w:tcPr>
            <w:tcW w:w="1625" w:type="dxa"/>
            <w:hideMark/>
          </w:tcPr>
          <w:p w14:paraId="1CB6E20D"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producing a series of videos. This involves scripting, hiring signers, filming, and editing for potentially many exhibits.</w:t>
            </w:r>
          </w:p>
        </w:tc>
        <w:tc>
          <w:tcPr>
            <w:tcW w:w="3278" w:type="dxa"/>
            <w:hideMark/>
          </w:tcPr>
          <w:p w14:paraId="2F0ACC7D" w14:textId="464C1A8C"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Content production is labour-intensive; ensuring the interpretation is accurate and matches the spoken/text content; providing the means to view the content; must cover the national sign language – which might not help international visitors who use a different sign language.</w:t>
            </w:r>
          </w:p>
        </w:tc>
        <w:tc>
          <w:tcPr>
            <w:tcW w:w="2231" w:type="dxa"/>
            <w:hideMark/>
          </w:tcPr>
          <w:p w14:paraId="4C53A0FD"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filming and editing sign language content for an entire museum could cost tens of thousands of euros. Using sign language avatar software might reduce costs per piece after initial setup.</w:t>
            </w:r>
          </w:p>
        </w:tc>
        <w:tc>
          <w:tcPr>
            <w:tcW w:w="3322" w:type="dxa"/>
            <w:hideMark/>
          </w:tcPr>
          <w:p w14:paraId="3F53F1F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building impact. Need to ensure videos are easily accessible on-site (via free Wi-Fi, QR codes, or devices) and that deaf visitors know they exist. This falls under providing equal access to information. It should complement, not replace, textual info.</w:t>
            </w:r>
          </w:p>
        </w:tc>
      </w:tr>
      <w:tr w:rsidR="00F431BE" w:rsidRPr="005933F6" w14:paraId="012DBC04"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0259B5DB"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3945" w:type="dxa"/>
            <w:hideMark/>
          </w:tcPr>
          <w:p w14:paraId="46A234E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Acoustic improvements in exhibit spaces</w:t>
            </w:r>
            <w:r w:rsidRPr="005933F6">
              <w:rPr>
                <w:sz w:val="20"/>
                <w:szCs w:val="22"/>
                <w:lang w:val="en-GB"/>
              </w:rPr>
              <w:t>: Install sound-absorbing panels, draperies or other acoustical treatments in very echoey halls. Addresses the barrier where reverberation makes it hard for hearing aid users or anyone with mild hearing loss to understand speech (also improves sound quality for all visitors).</w:t>
            </w:r>
          </w:p>
        </w:tc>
        <w:tc>
          <w:tcPr>
            <w:tcW w:w="1625" w:type="dxa"/>
            <w:hideMark/>
          </w:tcPr>
          <w:p w14:paraId="57D3568F"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requires an acoustic assessment and adding materials in a way that doesn’t spoil the venue’s look.</w:t>
            </w:r>
          </w:p>
        </w:tc>
        <w:tc>
          <w:tcPr>
            <w:tcW w:w="3278" w:type="dxa"/>
            <w:hideMark/>
          </w:tcPr>
          <w:p w14:paraId="61AC8CF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Aesthetic concerns in historic settings – modern acoustic panels might look out of place; might need custom-designed panels that double as art or blend with décor. Also, some spaces may resist any visible changes; in such cases, careful placement is needed.</w:t>
            </w:r>
          </w:p>
        </w:tc>
        <w:tc>
          <w:tcPr>
            <w:tcW w:w="2231" w:type="dxa"/>
            <w:hideMark/>
          </w:tcPr>
          <w:p w14:paraId="33A95BA4" w14:textId="36E80DBB"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acoustic panelling might cost €100 per panel installed. Covering a large gallery could be a few thousand euros. If opting for aesthetic custom solutions, price can rise. Adding carpets or curtains is cheaper but might not be feasible.</w:t>
            </w:r>
          </w:p>
        </w:tc>
        <w:tc>
          <w:tcPr>
            <w:tcW w:w="3322" w:type="dxa"/>
            <w:hideMark/>
          </w:tcPr>
          <w:p w14:paraId="032D6FF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In historic buildings, permanent changes might need approval. Solutions often have to be reversible – e.g., using tension wires to hang baffling panels instead of glueing them. It’s also subtle: good acoustics benefit everyone without altering the visitor experience negatively.</w:t>
            </w:r>
          </w:p>
        </w:tc>
      </w:tr>
      <w:tr w:rsidR="00F431BE" w:rsidRPr="005933F6" w14:paraId="2F534189"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52929209"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Long-Term</w:t>
            </w:r>
          </w:p>
        </w:tc>
        <w:tc>
          <w:tcPr>
            <w:tcW w:w="3945" w:type="dxa"/>
            <w:hideMark/>
          </w:tcPr>
          <w:p w14:paraId="5BF9570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Assistive listening devices (FM/IR systems)</w:t>
            </w:r>
            <w:r w:rsidRPr="005933F6">
              <w:rPr>
                <w:sz w:val="20"/>
                <w:szCs w:val="22"/>
                <w:lang w:val="en-GB"/>
              </w:rPr>
              <w:t>: Provide personal assistive listening systems for guided tours or auditorium events – e.g., a tour guide wears a microphone and visitors can use a wireless receiver with headphones. This addresses the barrier of hearing a guide in a noisy environment or at a distance, for those who don’t have hearing aids or need extra amplification.</w:t>
            </w:r>
          </w:p>
        </w:tc>
        <w:tc>
          <w:tcPr>
            <w:tcW w:w="1625" w:type="dxa"/>
            <w:hideMark/>
          </w:tcPr>
          <w:p w14:paraId="078C86A1"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logistical complexity of purchasing, managing, and maintaining a set of devices, plus integrating their use into tour operations.</w:t>
            </w:r>
          </w:p>
        </w:tc>
        <w:tc>
          <w:tcPr>
            <w:tcW w:w="3278" w:type="dxa"/>
            <w:hideMark/>
          </w:tcPr>
          <w:p w14:paraId="3515953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Equipment upkeep (battery charging, regular testing); distributing and collecting devices for tours (needs staff attention each time); hygiene (cleaning earpieces between uses); risk of loss or damage to devices; some visitors might find the devices cumbersome or be reluctant to wear them.</w:t>
            </w:r>
          </w:p>
        </w:tc>
        <w:tc>
          <w:tcPr>
            <w:tcW w:w="2231" w:type="dxa"/>
            <w:hideMark/>
          </w:tcPr>
          <w:p w14:paraId="180A712B"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initial cost – e.g., a package of one transmitter microphone and 10–20 receivers might cost €2.000–€5.000 depending on brand and features. Additional receivers €100 each.</w:t>
            </w:r>
          </w:p>
        </w:tc>
        <w:tc>
          <w:tcPr>
            <w:tcW w:w="3322" w:type="dxa"/>
            <w:hideMark/>
          </w:tcPr>
          <w:p w14:paraId="63A440B5"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building impact. Ensure the chosen system’s frequency is legal in your country. While not mandated, these systems can be a way to meet legal obligations for accommodation especially during guided experiences. It’s an alternative to induction loops in scenarios where loops aren’t feasible.</w:t>
            </w:r>
          </w:p>
        </w:tc>
      </w:tr>
    </w:tbl>
    <w:p w14:paraId="2806002F" w14:textId="77777777" w:rsidR="00F431BE" w:rsidRPr="005933F6" w:rsidRDefault="00F431BE" w:rsidP="00F431BE">
      <w:pPr>
        <w:rPr>
          <w:lang w:val="en-GB"/>
        </w:rPr>
      </w:pPr>
    </w:p>
    <w:p w14:paraId="0941D5A2" w14:textId="77777777" w:rsidR="00F431BE" w:rsidRPr="005933F6" w:rsidRDefault="00F431BE" w:rsidP="00F431BE">
      <w:pPr>
        <w:pStyle w:val="Heading1"/>
        <w:numPr>
          <w:ilvl w:val="0"/>
          <w:numId w:val="82"/>
        </w:numPr>
      </w:pPr>
      <w:bookmarkStart w:id="6" w:name="_Toc219893721"/>
      <w:bookmarkStart w:id="7" w:name="_Toc219995094"/>
      <w:r w:rsidRPr="005933F6">
        <w:t>Cognitive / Autism / Developmental</w:t>
      </w:r>
      <w:bookmarkEnd w:id="6"/>
      <w:bookmarkEnd w:id="7"/>
    </w:p>
    <w:tbl>
      <w:tblPr>
        <w:tblStyle w:val="GridTable1Light"/>
        <w:tblW w:w="15451" w:type="dxa"/>
        <w:tblInd w:w="-714" w:type="dxa"/>
        <w:tblLook w:val="04A0" w:firstRow="1" w:lastRow="0" w:firstColumn="1" w:lastColumn="0" w:noHBand="0" w:noVBand="1"/>
      </w:tblPr>
      <w:tblGrid>
        <w:gridCol w:w="1050"/>
        <w:gridCol w:w="3945"/>
        <w:gridCol w:w="1614"/>
        <w:gridCol w:w="3278"/>
        <w:gridCol w:w="2235"/>
        <w:gridCol w:w="3329"/>
      </w:tblGrid>
      <w:tr w:rsidR="00F431BE" w:rsidRPr="005933F6" w14:paraId="10841E08" w14:textId="77777777" w:rsidTr="00A370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50" w:type="dxa"/>
            <w:hideMark/>
          </w:tcPr>
          <w:p w14:paraId="3DAD5110" w14:textId="77777777" w:rsidR="00F431BE" w:rsidRPr="005933F6" w:rsidRDefault="00F431BE" w:rsidP="00A3701E">
            <w:pPr>
              <w:spacing w:after="160" w:line="278" w:lineRule="auto"/>
              <w:jc w:val="left"/>
              <w:rPr>
                <w:sz w:val="20"/>
                <w:szCs w:val="22"/>
                <w:lang w:val="en-GB"/>
              </w:rPr>
            </w:pPr>
            <w:r w:rsidRPr="005933F6">
              <w:rPr>
                <w:sz w:val="20"/>
                <w:szCs w:val="22"/>
                <w:lang w:val="en-GB"/>
              </w:rPr>
              <w:t>Type</w:t>
            </w:r>
          </w:p>
        </w:tc>
        <w:tc>
          <w:tcPr>
            <w:tcW w:w="3945" w:type="dxa"/>
            <w:hideMark/>
          </w:tcPr>
          <w:p w14:paraId="3D0BA8E8"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b w:val="0"/>
                <w:bCs w:val="0"/>
                <w:sz w:val="20"/>
                <w:szCs w:val="22"/>
                <w:lang w:val="en-GB"/>
              </w:rPr>
            </w:pPr>
            <w:r w:rsidRPr="005933F6">
              <w:rPr>
                <w:sz w:val="20"/>
                <w:szCs w:val="22"/>
                <w:lang w:val="en-GB"/>
              </w:rPr>
              <w:t>Solution &amp; Description</w:t>
            </w:r>
            <w:r w:rsidRPr="005933F6">
              <w:rPr>
                <w:b w:val="0"/>
                <w:bCs w:val="0"/>
                <w:sz w:val="20"/>
                <w:szCs w:val="22"/>
                <w:lang w:val="en-GB"/>
              </w:rPr>
              <w:t xml:space="preserve"> </w:t>
            </w:r>
            <w:r w:rsidRPr="005933F6">
              <w:rPr>
                <w:sz w:val="20"/>
                <w:szCs w:val="22"/>
                <w:lang w:val="en-GB"/>
              </w:rPr>
              <w:t>(Barrier Addressed)</w:t>
            </w:r>
          </w:p>
        </w:tc>
        <w:tc>
          <w:tcPr>
            <w:tcW w:w="1614" w:type="dxa"/>
            <w:hideMark/>
          </w:tcPr>
          <w:p w14:paraId="035B9ACF"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Implementation Difficulty</w:t>
            </w:r>
          </w:p>
        </w:tc>
        <w:tc>
          <w:tcPr>
            <w:tcW w:w="3278" w:type="dxa"/>
            <w:hideMark/>
          </w:tcPr>
          <w:p w14:paraId="6C4EB876"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Obstacles/Barriers to Implementation</w:t>
            </w:r>
          </w:p>
        </w:tc>
        <w:tc>
          <w:tcPr>
            <w:tcW w:w="2235" w:type="dxa"/>
            <w:hideMark/>
          </w:tcPr>
          <w:p w14:paraId="230768BA"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Cost (Estimate)</w:t>
            </w:r>
          </w:p>
        </w:tc>
        <w:tc>
          <w:tcPr>
            <w:tcW w:w="3329" w:type="dxa"/>
            <w:hideMark/>
          </w:tcPr>
          <w:p w14:paraId="6E4963BC"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Regulatory/Historic Preservation Issues</w:t>
            </w:r>
          </w:p>
        </w:tc>
      </w:tr>
      <w:tr w:rsidR="00F431BE" w:rsidRPr="005933F6" w14:paraId="4A6CC7D4"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3780E0C3" w14:textId="77777777" w:rsidR="00F431BE" w:rsidRPr="005933F6" w:rsidRDefault="00F431BE" w:rsidP="00A3701E">
            <w:pPr>
              <w:rPr>
                <w:sz w:val="20"/>
                <w:szCs w:val="22"/>
                <w:lang w:val="en-GB"/>
              </w:rPr>
            </w:pPr>
            <w:r w:rsidRPr="005933F6">
              <w:rPr>
                <w:sz w:val="20"/>
                <w:szCs w:val="22"/>
                <w:lang w:val="en-GB"/>
              </w:rPr>
              <w:t>Quick Win</w:t>
            </w:r>
          </w:p>
        </w:tc>
        <w:tc>
          <w:tcPr>
            <w:tcW w:w="3945" w:type="dxa"/>
            <w:hideMark/>
          </w:tcPr>
          <w:p w14:paraId="663B7A18"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Clear signage with pictograms and simple language</w:t>
            </w:r>
            <w:r w:rsidRPr="005933F6">
              <w:rPr>
                <w:sz w:val="20"/>
                <w:szCs w:val="22"/>
                <w:lang w:val="en-GB"/>
              </w:rPr>
              <w:t>: Replace or supplement signs with ones that use universally recognized icons and very clear text. For example, use symbols for restrooms, exits, cafeteria, etc., and short, plain words. Addresses the barrier of complex or text-heavy signage confusing visitors with cognitive disabilities or those who have trouble reading.</w:t>
            </w:r>
          </w:p>
        </w:tc>
        <w:tc>
          <w:tcPr>
            <w:tcW w:w="1614" w:type="dxa"/>
            <w:hideMark/>
          </w:tcPr>
          <w:p w14:paraId="12C7E215"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many standard pictogram signs are available; can also print in-house for temporary use to test effectiveness.</w:t>
            </w:r>
          </w:p>
        </w:tc>
        <w:tc>
          <w:tcPr>
            <w:tcW w:w="3278" w:type="dxa"/>
            <w:hideMark/>
          </w:tcPr>
          <w:p w14:paraId="193900A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Ensuring consistency (using the same symbol for the same concept everywhere); may need bilingual text if catering to international visitors, while still keeping it simple; staff must update any directional arrows if layouts change (so outdated signs don’t mislead).</w:t>
            </w:r>
          </w:p>
        </w:tc>
        <w:tc>
          <w:tcPr>
            <w:tcW w:w="2235" w:type="dxa"/>
            <w:hideMark/>
          </w:tcPr>
          <w:p w14:paraId="3ADB6D13" w14:textId="22CA6BD2"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standard ADA-style or EU-standard pictogram signs cost €10–€50 each, or printing and laminating your own costs only a few euros. Replacing a whole set of signs is more, but a small venue might do it for a couple of hundred euros.</w:t>
            </w:r>
          </w:p>
        </w:tc>
        <w:tc>
          <w:tcPr>
            <w:tcW w:w="3329" w:type="dxa"/>
            <w:hideMark/>
          </w:tcPr>
          <w:p w14:paraId="0EF43A4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issues; adding helpful signage is generally positive. In historically significant interiors, you may need to avoid drilling holes – could use adhesive hooks or stand-alone signboards to protect walls. Otherwise, it’s non-invasive.</w:t>
            </w:r>
          </w:p>
        </w:tc>
      </w:tr>
      <w:tr w:rsidR="00F431BE" w:rsidRPr="005933F6" w14:paraId="20179006"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4A3AEA87"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Quick Win</w:t>
            </w:r>
          </w:p>
        </w:tc>
        <w:tc>
          <w:tcPr>
            <w:tcW w:w="3945" w:type="dxa"/>
            <w:hideMark/>
          </w:tcPr>
          <w:p w14:paraId="51442711"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Create a designated quiet space or “sensory refuge”</w:t>
            </w:r>
            <w:r w:rsidRPr="005933F6">
              <w:rPr>
                <w:sz w:val="20"/>
                <w:szCs w:val="22"/>
                <w:lang w:val="en-GB"/>
              </w:rPr>
              <w:t>: Set aside a small room or corner where visitors who feel overwhelmed (e.g., individuals on the autism spectrum) can take a break in a calm, low-sensory environment. Keep it dimly lit, with minimal noise and some seating. Addresses the barrier of sensory overload and anxiety.</w:t>
            </w:r>
          </w:p>
        </w:tc>
        <w:tc>
          <w:tcPr>
            <w:tcW w:w="1614" w:type="dxa"/>
            <w:hideMark/>
          </w:tcPr>
          <w:p w14:paraId="3E9B91D7"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primarily repurposing an existing space; could simply be an unused office, gallery corner, or outdoor bench in a calm area.</w:t>
            </w:r>
          </w:p>
        </w:tc>
        <w:tc>
          <w:tcPr>
            <w:tcW w:w="3278" w:type="dxa"/>
            <w:hideMark/>
          </w:tcPr>
          <w:p w14:paraId="7136B6B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Finding a suitable space is the main challenge (it should be away from loud areas or flashing exhibits); need a system to ensure it’s used appropriately (not a private party spot or storage); staff should periodically check it or have a sign for rules of use.</w:t>
            </w:r>
          </w:p>
        </w:tc>
        <w:tc>
          <w:tcPr>
            <w:tcW w:w="2235" w:type="dxa"/>
            <w:hideMark/>
          </w:tcPr>
          <w:p w14:paraId="5B0BE9CF"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furnishing with a comfortable chair or beanbag, maybe soft mats or a small tent/partition for isolation: a few hundred euros at most.</w:t>
            </w:r>
          </w:p>
        </w:tc>
        <w:tc>
          <w:tcPr>
            <w:tcW w:w="3329" w:type="dxa"/>
            <w:hideMark/>
          </w:tcPr>
          <w:p w14:paraId="7315A2E8"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No heritage concerns if using an existing room without alterations. If modifying lighting (e.g., installing a dimmer or lamp), ensure </w:t>
            </w:r>
            <w:proofErr w:type="spellStart"/>
            <w:r w:rsidRPr="005933F6">
              <w:rPr>
                <w:sz w:val="20"/>
                <w:szCs w:val="22"/>
                <w:lang w:val="en-GB"/>
              </w:rPr>
              <w:t>it’s</w:t>
            </w:r>
            <w:proofErr w:type="spellEnd"/>
            <w:r w:rsidRPr="005933F6">
              <w:rPr>
                <w:sz w:val="20"/>
                <w:szCs w:val="22"/>
                <w:lang w:val="en-GB"/>
              </w:rPr>
              <w:t xml:space="preserve"> easily reversible. Just avoid using an area that has its own historic significance.</w:t>
            </w:r>
          </w:p>
        </w:tc>
      </w:tr>
      <w:tr w:rsidR="00F431BE" w:rsidRPr="005933F6" w14:paraId="426CE3EE"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42FD05D4"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3945" w:type="dxa"/>
            <w:hideMark/>
          </w:tcPr>
          <w:p w14:paraId="7FD5731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Offer information in plain language</w:t>
            </w:r>
            <w:r w:rsidRPr="005933F6">
              <w:rPr>
                <w:sz w:val="20"/>
                <w:szCs w:val="22"/>
                <w:lang w:val="en-GB"/>
              </w:rPr>
              <w:t>: Provide simplified summaries of exhibit information or instructions in “easy read” format – short sentences, common words, and supporting images. This can be in the form of a booklet or additional labels marked with an easy-read symbol. Addresses the barrier of complex language that people with intellectual disabilities or learning difficulties might find hard to understand.</w:t>
            </w:r>
          </w:p>
        </w:tc>
        <w:tc>
          <w:tcPr>
            <w:tcW w:w="1614" w:type="dxa"/>
            <w:hideMark/>
          </w:tcPr>
          <w:p w14:paraId="3AAC90A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requires rewriting key content into plain language, ideally with input from specialists or the target audience to ensure clarity.</w:t>
            </w:r>
          </w:p>
        </w:tc>
        <w:tc>
          <w:tcPr>
            <w:tcW w:w="3278" w:type="dxa"/>
            <w:hideMark/>
          </w:tcPr>
          <w:p w14:paraId="0936D83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Staff or external experts must dedicate time to create the simplified text without losing essential meaning; maintaining parallel sets of information (full text and easy-read) whenever updates occur; need to physically accommodate the extra text (maybe as a separate handout or a QR code linking to easy-read content if labels can’t fit more text).</w:t>
            </w:r>
          </w:p>
        </w:tc>
        <w:tc>
          <w:tcPr>
            <w:tcW w:w="2235" w:type="dxa"/>
            <w:hideMark/>
          </w:tcPr>
          <w:p w14:paraId="1810DB7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mostly staff/consultant time. Printing some easy-read guides or larger labels is cheap (€0.50–€2 each for a booklet).</w:t>
            </w:r>
          </w:p>
        </w:tc>
        <w:tc>
          <w:tcPr>
            <w:tcW w:w="3329" w:type="dxa"/>
            <w:hideMark/>
          </w:tcPr>
          <w:p w14:paraId="59C0543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regulatory barriers; it’s providing alternative info. Make sure any displayed easy-read panels don’t cover up other info or artworks. If using illustrations, ensure you have rights to them. This effort demonstrates ADA/UNCRPD compliance by making information accessible to those with cognitive impairments.</w:t>
            </w:r>
          </w:p>
        </w:tc>
      </w:tr>
      <w:tr w:rsidR="00F431BE" w:rsidRPr="005933F6" w14:paraId="01FCB1E8"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667102A4"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3945" w:type="dxa"/>
            <w:hideMark/>
          </w:tcPr>
          <w:p w14:paraId="187F3DF9" w14:textId="1BCA632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Prepare visual schedules or “social story” guides</w:t>
            </w:r>
            <w:r w:rsidRPr="005933F6">
              <w:rPr>
                <w:sz w:val="20"/>
                <w:szCs w:val="22"/>
                <w:lang w:val="en-GB"/>
              </w:rPr>
              <w:t>: Provide a visual guide (online and/or on paper) showing what to expect during a visit – e.g., a sequence of photos or icons depicting arriving, ticketing, security checks, exhibits, etc. Addresses the barrier of anxiety about new situations by familiarizing visitors (especially autistic individuals) with the routine and environment in advance.</w:t>
            </w:r>
          </w:p>
        </w:tc>
        <w:tc>
          <w:tcPr>
            <w:tcW w:w="1614" w:type="dxa"/>
            <w:hideMark/>
          </w:tcPr>
          <w:p w14:paraId="64793E9D"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can be created with a camera and basic editing. Put it on the website and have a few printed copies at the entrance.</w:t>
            </w:r>
          </w:p>
        </w:tc>
        <w:tc>
          <w:tcPr>
            <w:tcW w:w="3278" w:type="dxa"/>
            <w:hideMark/>
          </w:tcPr>
          <w:p w14:paraId="1A63FFF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Keeping it accurate as things change (if you rearrange exhibits or procedures, update the guide); need to disseminate it – for instance, send it to families or special education groups who request it, and advertise its existence on your site and social media.</w:t>
            </w:r>
          </w:p>
        </w:tc>
        <w:tc>
          <w:tcPr>
            <w:tcW w:w="2235" w:type="dxa"/>
            <w:hideMark/>
          </w:tcPr>
          <w:p w14:paraId="095FE5BA"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low – essentially the cost of staff time to take photos and assemble the guide. Printing a full-</w:t>
            </w:r>
            <w:proofErr w:type="spellStart"/>
            <w:r w:rsidRPr="005933F6">
              <w:rPr>
                <w:sz w:val="20"/>
                <w:szCs w:val="22"/>
                <w:lang w:val="en-GB"/>
              </w:rPr>
              <w:t>color</w:t>
            </w:r>
            <w:proofErr w:type="spellEnd"/>
            <w:r w:rsidRPr="005933F6">
              <w:rPr>
                <w:sz w:val="20"/>
                <w:szCs w:val="22"/>
                <w:lang w:val="en-GB"/>
              </w:rPr>
              <w:t xml:space="preserve"> booklet with, say, 10–15 images might be €2–€5 each if you want hard copies available.</w:t>
            </w:r>
          </w:p>
        </w:tc>
        <w:tc>
          <w:tcPr>
            <w:tcW w:w="3329" w:type="dxa"/>
            <w:hideMark/>
          </w:tcPr>
          <w:p w14:paraId="3EFCC41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issues; it’s an auxiliary information product. If photographing the site’s interior for this, avoid including other visitors in shots (privacy) or get their consent. Highlighting this guide on your website also signals your accessibility commitment (no regulatory downside, it’s a plus).</w:t>
            </w:r>
          </w:p>
        </w:tc>
      </w:tr>
      <w:tr w:rsidR="00F431BE" w:rsidRPr="005933F6" w14:paraId="54642FD5"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5641C02F"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Quick Win</w:t>
            </w:r>
          </w:p>
        </w:tc>
        <w:tc>
          <w:tcPr>
            <w:tcW w:w="3945" w:type="dxa"/>
            <w:hideMark/>
          </w:tcPr>
          <w:p w14:paraId="3376C00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Sensory toolkits (ear defenders, fidget toys)</w:t>
            </w:r>
            <w:r w:rsidRPr="005933F6">
              <w:rPr>
                <w:sz w:val="20"/>
                <w:szCs w:val="22"/>
                <w:lang w:val="en-GB"/>
              </w:rPr>
              <w:t>: Offer a small kit that visitors can borrow, containing items like noise-cancelling earmuffs or earplugs, sunglasses (to dim bright lights), and a couple of stress-relief/fidget toys. Addresses the barrier of sensory overload by giving individuals tools to self-regulate in the moment.</w:t>
            </w:r>
          </w:p>
        </w:tc>
        <w:tc>
          <w:tcPr>
            <w:tcW w:w="1614" w:type="dxa"/>
            <w:hideMark/>
          </w:tcPr>
          <w:p w14:paraId="6DB21EDD"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assemble a few kits and have them available at the entrance or info desk (perhaps in exchange for an ID as deposit).</w:t>
            </w:r>
          </w:p>
        </w:tc>
        <w:tc>
          <w:tcPr>
            <w:tcW w:w="3278" w:type="dxa"/>
            <w:hideMark/>
          </w:tcPr>
          <w:p w14:paraId="6556FF51"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Managing the kits: items may get lost or broken; need to sanitize or replace parts (especially earplugs – use disposable ones, and clean earmuff pads). Also ensure the staff remembers to mention these kits to visitors who might benefit (they could be shy to ask).</w:t>
            </w:r>
          </w:p>
        </w:tc>
        <w:tc>
          <w:tcPr>
            <w:tcW w:w="2235" w:type="dxa"/>
            <w:hideMark/>
          </w:tcPr>
          <w:p w14:paraId="558DAA2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e.g., quality noise-cancelling earmuffs €30 each, a pack of foam earplugs €0.20 each, fidget toy set €10–€20, plus a small bag or box for the kit. Perhaps €50 per kit</w:t>
            </w:r>
          </w:p>
        </w:tc>
        <w:tc>
          <w:tcPr>
            <w:tcW w:w="3329" w:type="dxa"/>
            <w:hideMark/>
          </w:tcPr>
          <w:p w14:paraId="36C5914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regulatory concerns. Choose non-toxic, safe items (CE marked for toys, etc.). This initiative often falls under “reasonable accommodations” and is seen positively; some places have sponsors donate these items.</w:t>
            </w:r>
          </w:p>
        </w:tc>
      </w:tr>
      <w:tr w:rsidR="00F431BE" w:rsidRPr="005933F6" w14:paraId="42AF7BA3"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228BD7B2"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3945" w:type="dxa"/>
            <w:hideMark/>
          </w:tcPr>
          <w:p w14:paraId="69DE8EE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Adjust exhibit sensory stimuli on demand</w:t>
            </w:r>
            <w:r w:rsidRPr="005933F6">
              <w:rPr>
                <w:sz w:val="20"/>
                <w:szCs w:val="22"/>
                <w:lang w:val="en-GB"/>
              </w:rPr>
              <w:t>: Have the ability to temporarily reduce sensory inputs of certain exhibits if needed – for example, turn down or off loud sound effects, or dim flashing lights when an autistic visitor or someone with sensory processing issues is present (or during designated quiet hours). Addresses the barrier of exhibits being too overwhelming.</w:t>
            </w:r>
          </w:p>
        </w:tc>
        <w:tc>
          <w:tcPr>
            <w:tcW w:w="1614" w:type="dxa"/>
            <w:hideMark/>
          </w:tcPr>
          <w:p w14:paraId="1A1DC39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Moderate – requires that exhibits have accessible controls or a centralized way for staff to override them. </w:t>
            </w:r>
          </w:p>
        </w:tc>
        <w:tc>
          <w:tcPr>
            <w:tcW w:w="3278" w:type="dxa"/>
            <w:hideMark/>
          </w:tcPr>
          <w:p w14:paraId="02E6034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Not all exhibits are easily adjustable – might need to install a simple switch or remote control if currently one has to unplug a device to silence it. Staff needs to be trained and empowered to make these adjustments on the fly. Must balance so that other visitors’ experience is not compromised except during special hours.</w:t>
            </w:r>
          </w:p>
        </w:tc>
        <w:tc>
          <w:tcPr>
            <w:tcW w:w="2235" w:type="dxa"/>
            <w:hideMark/>
          </w:tcPr>
          <w:p w14:paraId="4D1878D5"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(if technology is already in place) to Moderate (if retrofitting control systems). Adding remote-controlled power sockets cost €20 each. If planning for “sensory friendly hours,” the cost is mainly scheduling.</w:t>
            </w:r>
          </w:p>
        </w:tc>
        <w:tc>
          <w:tcPr>
            <w:tcW w:w="3329" w:type="dxa"/>
            <w:hideMark/>
          </w:tcPr>
          <w:p w14:paraId="3EE06C82"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heritage issues – you are simply using the exhibits differently. If adding control equipment, do so unobtrusively. For scheduled sensory-friendly sessions, ensure emergency systems (exit signs, alarms) remain fully functional. Many museums do this and find it doesn’t conflict with any regulations as long as basic safety lighting is maintained.</w:t>
            </w:r>
          </w:p>
        </w:tc>
      </w:tr>
      <w:tr w:rsidR="00F431BE" w:rsidRPr="005933F6" w14:paraId="545E8CAF"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6126EFD5"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3945" w:type="dxa"/>
            <w:hideMark/>
          </w:tcPr>
          <w:p w14:paraId="2DCBB37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Fully-equipped sensory room or calming area</w:t>
            </w:r>
            <w:r w:rsidRPr="005933F6">
              <w:rPr>
                <w:sz w:val="20"/>
                <w:szCs w:val="22"/>
                <w:lang w:val="en-GB"/>
              </w:rPr>
              <w:t>: Design and outfit a dedicated quiet room with more advanced calming features – e.g., soft furnishings, adjustable ambient lighting, soundproofing, and tactile calming equipment. This provides a sanctuary for visitors with autism or sensory issues who need a significant break. Addresses the same barrier as the quick-win quiet corner.</w:t>
            </w:r>
          </w:p>
        </w:tc>
        <w:tc>
          <w:tcPr>
            <w:tcW w:w="1614" w:type="dxa"/>
            <w:hideMark/>
          </w:tcPr>
          <w:p w14:paraId="7AB1BEF0"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involves planning a space and possibly some construction. Consulting occupational therapists or autism experts.</w:t>
            </w:r>
          </w:p>
        </w:tc>
        <w:tc>
          <w:tcPr>
            <w:tcW w:w="3278" w:type="dxa"/>
            <w:hideMark/>
          </w:tcPr>
          <w:p w14:paraId="0FF6F90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Securing an appropriate location long-term (you might need to sacrifice revenue-generating space); ensuring the room is monitored enough for safety but still private; maintenance of special equipment (bubble tubes, projectors) – they can break or require cleaning.</w:t>
            </w:r>
          </w:p>
        </w:tc>
        <w:tc>
          <w:tcPr>
            <w:tcW w:w="2235" w:type="dxa"/>
            <w:hideMark/>
          </w:tcPr>
          <w:p w14:paraId="10BCFE9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Basic setup with paint, beanbags, rug, and dimmable lights might be €1.000. Adding sensory equipment can raise it to €5.000–€10.000. High-end sensory rooms can cost even more.</w:t>
            </w:r>
          </w:p>
        </w:tc>
        <w:tc>
          <w:tcPr>
            <w:tcW w:w="3329" w:type="dxa"/>
            <w:hideMark/>
          </w:tcPr>
          <w:p w14:paraId="3D7F369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specific heritage issues if you use an existing room and make reversible modifications. Safety code: treat it like a quiet lounge – it must have proper ventilation, fire alarm detection, and no locking door. Having this space is usually applauded by accessibility advocates and doesn’t conflict with regulations, as long as it’s not misused.</w:t>
            </w:r>
          </w:p>
        </w:tc>
      </w:tr>
      <w:tr w:rsidR="00F431BE" w:rsidRPr="005933F6" w14:paraId="0D10C6FA"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4A47EE24"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Long-Term</w:t>
            </w:r>
          </w:p>
        </w:tc>
        <w:tc>
          <w:tcPr>
            <w:tcW w:w="3945" w:type="dxa"/>
            <w:hideMark/>
          </w:tcPr>
          <w:p w14:paraId="4487A961"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Overhaul of signage and information for simplicity</w:t>
            </w:r>
            <w:r w:rsidRPr="005933F6">
              <w:rPr>
                <w:sz w:val="20"/>
                <w:szCs w:val="22"/>
                <w:lang w:val="en-GB"/>
              </w:rPr>
              <w:t>: Implement a site-wide signage and information system designed with cognitive accessibility in mind. This means using consistent pictograms, color-coding different sections or routes, numbering exhibits in a clear sequence, and providing “easy read” text alongside regular text where feasible. Addresses wayfinding and comprehension barriers on a broad scale.</w:t>
            </w:r>
          </w:p>
        </w:tc>
        <w:tc>
          <w:tcPr>
            <w:tcW w:w="1614" w:type="dxa"/>
            <w:hideMark/>
          </w:tcPr>
          <w:p w14:paraId="2379C0F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requires redesigning and replacing most existing signs and possibly reprinting exhibit texts.</w:t>
            </w:r>
          </w:p>
        </w:tc>
        <w:tc>
          <w:tcPr>
            <w:tcW w:w="3278" w:type="dxa"/>
            <w:hideMark/>
          </w:tcPr>
          <w:p w14:paraId="10EC653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Upfront planning with designers and disability consultants; potential pushback if some think simplified signs might “dumb down” the look. Installing new signs throughout can be disruptive and must be carefully scheduled. Must maintain bilingual or trilingual needs in tourist contexts while still being clear (a challenge).</w:t>
            </w:r>
          </w:p>
        </w:tc>
        <w:tc>
          <w:tcPr>
            <w:tcW w:w="2235" w:type="dxa"/>
            <w:hideMark/>
          </w:tcPr>
          <w:p w14:paraId="57F41CF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designing a new signage system could be a few thousand euros. Fabricating and installing dozens of signs is the bigger cost: e.g., €100 per sign and perhaps 50-100 signs in a complex site, so €5.000–€10.000+ in total.</w:t>
            </w:r>
          </w:p>
        </w:tc>
        <w:tc>
          <w:tcPr>
            <w:tcW w:w="3329" w:type="dxa"/>
            <w:hideMark/>
          </w:tcPr>
          <w:p w14:paraId="4B0800BA" w14:textId="3FBD3045"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No legal barrier; aligns with universal design principles encouraged by law. Need to follow any local signage regulations. In heritage sites, ensure new signs are placed in approved locations. If color-coding areas, do it subtly so it doesn’t clash with historical ambiance (like a small </w:t>
            </w:r>
            <w:r w:rsidR="005933F6" w:rsidRPr="005933F6">
              <w:rPr>
                <w:sz w:val="20"/>
                <w:szCs w:val="22"/>
                <w:lang w:val="en-GB"/>
              </w:rPr>
              <w:t>coloured</w:t>
            </w:r>
            <w:r w:rsidRPr="005933F6">
              <w:rPr>
                <w:sz w:val="20"/>
                <w:szCs w:val="22"/>
                <w:lang w:val="en-GB"/>
              </w:rPr>
              <w:t xml:space="preserve"> icon on each sign rather than painting a stripe on walls).</w:t>
            </w:r>
          </w:p>
        </w:tc>
      </w:tr>
      <w:tr w:rsidR="00F431BE" w:rsidRPr="005933F6" w14:paraId="2D1EECF9"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57AE0B68"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3945" w:type="dxa"/>
            <w:hideMark/>
          </w:tcPr>
          <w:p w14:paraId="4AF8838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Regular “sensory-friendly” visiting hours or adaptations</w:t>
            </w:r>
            <w:r w:rsidRPr="005933F6">
              <w:rPr>
                <w:sz w:val="20"/>
                <w:szCs w:val="22"/>
                <w:lang w:val="en-GB"/>
              </w:rPr>
              <w:t>: Establish periodic times (e.g., early opening on certain days) where the museum adjusts conditions to be more autism-friendly – lower lighting, turn off loud interactive exhibits, limit the number of visitors, and have trained staff on hand. Addresses the barrier of the typical environment by providing a planned opportunity for a calmer experience.</w:t>
            </w:r>
          </w:p>
        </w:tc>
        <w:tc>
          <w:tcPr>
            <w:tcW w:w="1614" w:type="dxa"/>
            <w:hideMark/>
          </w:tcPr>
          <w:p w14:paraId="3ADA975A"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primarily a scheduling and training initiative, but may require some infrastructure.</w:t>
            </w:r>
          </w:p>
        </w:tc>
        <w:tc>
          <w:tcPr>
            <w:tcW w:w="3278" w:type="dxa"/>
            <w:hideMark/>
          </w:tcPr>
          <w:p w14:paraId="6EED3235"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Might reduce ticket revenue during those hours (if capacity is limited or if held during normally closed hours, there’s staff cost); needs thorough publicity to reach those who need it; staff need training to know how to interact. Also, must consider siblings or other family who come along – making it a positive for all.</w:t>
            </w:r>
          </w:p>
        </w:tc>
        <w:tc>
          <w:tcPr>
            <w:tcW w:w="2235" w:type="dxa"/>
            <w:hideMark/>
          </w:tcPr>
          <w:p w14:paraId="1CAC054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to Moderate – implementing the event itself is low cost. If existing lighting is not dimmable, you might invest a few thousand euros to add that capability in exhibit halls.</w:t>
            </w:r>
          </w:p>
        </w:tc>
        <w:tc>
          <w:tcPr>
            <w:tcW w:w="3329" w:type="dxa"/>
            <w:hideMark/>
          </w:tcPr>
          <w:p w14:paraId="0E534F8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regulatory issues; many cultural sites do this. Ensure emergency systems remain fully functional. Have a clear policy so general visitors know these hours are intended for those who need a quieter experience. From a preservation standpoint, you’re not altering anything permanently – just temporarily changing how things run.</w:t>
            </w:r>
          </w:p>
        </w:tc>
      </w:tr>
      <w:tr w:rsidR="00F431BE" w:rsidRPr="005933F6" w14:paraId="300181D0" w14:textId="77777777" w:rsidTr="00A3701E">
        <w:tc>
          <w:tcPr>
            <w:cnfStyle w:val="001000000000" w:firstRow="0" w:lastRow="0" w:firstColumn="1" w:lastColumn="0" w:oddVBand="0" w:evenVBand="0" w:oddHBand="0" w:evenHBand="0" w:firstRowFirstColumn="0" w:firstRowLastColumn="0" w:lastRowFirstColumn="0" w:lastRowLastColumn="0"/>
            <w:tcW w:w="1050" w:type="dxa"/>
            <w:hideMark/>
          </w:tcPr>
          <w:p w14:paraId="1675DAC3"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3945" w:type="dxa"/>
            <w:hideMark/>
          </w:tcPr>
          <w:p w14:paraId="4256173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Interactive exhibits with simplified modes</w:t>
            </w:r>
            <w:r w:rsidRPr="005933F6">
              <w:rPr>
                <w:sz w:val="20"/>
                <w:szCs w:val="22"/>
                <w:lang w:val="en-GB"/>
              </w:rPr>
              <w:t>: When designing interactive displays or digital kiosks, include a “simple mode” for people with cognitive disabilities or young children. Addresses the barrier of complicated interactive exhibits that might confuse or frustrate those with learning difficulties.</w:t>
            </w:r>
          </w:p>
        </w:tc>
        <w:tc>
          <w:tcPr>
            <w:tcW w:w="1614" w:type="dxa"/>
            <w:hideMark/>
          </w:tcPr>
          <w:p w14:paraId="7BC4C761"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requires the software developers to build dual interfaces or an easy toggle in settings.</w:t>
            </w:r>
          </w:p>
        </w:tc>
        <w:tc>
          <w:tcPr>
            <w:tcW w:w="3278" w:type="dxa"/>
            <w:hideMark/>
          </w:tcPr>
          <w:p w14:paraId="4721DBD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Need to identify what “simplified mode” means for each case. Risk of under-utilization if not widely needed, but having it available is still good practice. Interfaces must be crystal clear.</w:t>
            </w:r>
          </w:p>
        </w:tc>
        <w:tc>
          <w:tcPr>
            <w:tcW w:w="2235" w:type="dxa"/>
            <w:hideMark/>
          </w:tcPr>
          <w:p w14:paraId="78FC5811"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This could range from a few hundred euros for minor tweaks to several thousand if major reprogramming is needed.</w:t>
            </w:r>
          </w:p>
        </w:tc>
        <w:tc>
          <w:tcPr>
            <w:tcW w:w="3329" w:type="dxa"/>
            <w:hideMark/>
          </w:tcPr>
          <w:p w14:paraId="03CB798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external approval needed (software change). The benefit is inclusivity; no physical impact. Just make sure that adding these options doesn’t introduce bugs or confusion for general users.</w:t>
            </w:r>
          </w:p>
        </w:tc>
      </w:tr>
    </w:tbl>
    <w:p w14:paraId="44DDDFA1" w14:textId="77777777" w:rsidR="00F431BE" w:rsidRPr="005933F6" w:rsidRDefault="00F431BE" w:rsidP="00F431BE">
      <w:pPr>
        <w:pStyle w:val="Heading1"/>
        <w:numPr>
          <w:ilvl w:val="0"/>
          <w:numId w:val="82"/>
        </w:numPr>
      </w:pPr>
      <w:bookmarkStart w:id="8" w:name="_Toc219893722"/>
      <w:bookmarkStart w:id="9" w:name="_Toc219995095"/>
      <w:r w:rsidRPr="005933F6">
        <w:lastRenderedPageBreak/>
        <w:t>Digital Enhancements</w:t>
      </w:r>
      <w:bookmarkEnd w:id="8"/>
      <w:bookmarkEnd w:id="9"/>
    </w:p>
    <w:tbl>
      <w:tblPr>
        <w:tblStyle w:val="GridTable1Light"/>
        <w:tblW w:w="15451" w:type="dxa"/>
        <w:tblInd w:w="-714" w:type="dxa"/>
        <w:tblLook w:val="04A0" w:firstRow="1" w:lastRow="0" w:firstColumn="1" w:lastColumn="0" w:noHBand="0" w:noVBand="1"/>
      </w:tblPr>
      <w:tblGrid>
        <w:gridCol w:w="736"/>
        <w:gridCol w:w="4056"/>
        <w:gridCol w:w="1626"/>
        <w:gridCol w:w="3363"/>
        <w:gridCol w:w="2268"/>
        <w:gridCol w:w="3402"/>
      </w:tblGrid>
      <w:tr w:rsidR="00F431BE" w:rsidRPr="005933F6" w14:paraId="2ECA5E7C" w14:textId="77777777" w:rsidTr="00A370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6" w:type="dxa"/>
            <w:hideMark/>
          </w:tcPr>
          <w:p w14:paraId="0ED8FFE1" w14:textId="77777777" w:rsidR="00F431BE" w:rsidRPr="005933F6" w:rsidRDefault="00F431BE" w:rsidP="00A3701E">
            <w:pPr>
              <w:spacing w:after="160" w:line="278" w:lineRule="auto"/>
              <w:jc w:val="left"/>
              <w:rPr>
                <w:sz w:val="20"/>
                <w:szCs w:val="22"/>
                <w:lang w:val="en-GB"/>
              </w:rPr>
            </w:pPr>
            <w:r w:rsidRPr="005933F6">
              <w:rPr>
                <w:sz w:val="20"/>
                <w:szCs w:val="22"/>
                <w:lang w:val="en-GB"/>
              </w:rPr>
              <w:t>Type</w:t>
            </w:r>
          </w:p>
        </w:tc>
        <w:tc>
          <w:tcPr>
            <w:tcW w:w="4056" w:type="dxa"/>
            <w:hideMark/>
          </w:tcPr>
          <w:p w14:paraId="35DD0CCB"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b w:val="0"/>
                <w:bCs w:val="0"/>
                <w:sz w:val="20"/>
                <w:szCs w:val="22"/>
                <w:lang w:val="en-GB"/>
              </w:rPr>
            </w:pPr>
            <w:r w:rsidRPr="005933F6">
              <w:rPr>
                <w:sz w:val="20"/>
                <w:szCs w:val="22"/>
                <w:lang w:val="en-GB"/>
              </w:rPr>
              <w:t>Solution &amp; Description</w:t>
            </w:r>
            <w:r w:rsidRPr="005933F6">
              <w:rPr>
                <w:b w:val="0"/>
                <w:bCs w:val="0"/>
                <w:sz w:val="20"/>
                <w:szCs w:val="22"/>
                <w:lang w:val="en-GB"/>
              </w:rPr>
              <w:t xml:space="preserve"> </w:t>
            </w:r>
            <w:r w:rsidRPr="005933F6">
              <w:rPr>
                <w:sz w:val="20"/>
                <w:szCs w:val="22"/>
                <w:lang w:val="en-GB"/>
              </w:rPr>
              <w:t>(Barrier Addressed)</w:t>
            </w:r>
          </w:p>
        </w:tc>
        <w:tc>
          <w:tcPr>
            <w:tcW w:w="1626" w:type="dxa"/>
            <w:hideMark/>
          </w:tcPr>
          <w:p w14:paraId="7C40881B"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Implementation Difficulty</w:t>
            </w:r>
          </w:p>
        </w:tc>
        <w:tc>
          <w:tcPr>
            <w:tcW w:w="3363" w:type="dxa"/>
            <w:hideMark/>
          </w:tcPr>
          <w:p w14:paraId="52B27522"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Obstacles/Barriers to Implementation</w:t>
            </w:r>
          </w:p>
        </w:tc>
        <w:tc>
          <w:tcPr>
            <w:tcW w:w="2268" w:type="dxa"/>
            <w:hideMark/>
          </w:tcPr>
          <w:p w14:paraId="234486F9"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Cost (Estimate)</w:t>
            </w:r>
          </w:p>
        </w:tc>
        <w:tc>
          <w:tcPr>
            <w:tcW w:w="3402" w:type="dxa"/>
            <w:hideMark/>
          </w:tcPr>
          <w:p w14:paraId="16FACE55"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Regulatory/Historic Preservation Issues</w:t>
            </w:r>
          </w:p>
        </w:tc>
      </w:tr>
      <w:tr w:rsidR="00F431BE" w:rsidRPr="005933F6" w14:paraId="4675891C"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24977917"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620D2A1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Accessibility information on website and pre-visit materials</w:t>
            </w:r>
            <w:r w:rsidRPr="005933F6">
              <w:rPr>
                <w:sz w:val="20"/>
                <w:szCs w:val="22"/>
                <w:lang w:val="en-GB"/>
              </w:rPr>
              <w:t>: Add a dedicated section on the venue’s website detailing its accessibility features and how to request accommodations. Addresses the barrier of insufficient information.</w:t>
            </w:r>
          </w:p>
        </w:tc>
        <w:tc>
          <w:tcPr>
            <w:tcW w:w="1626" w:type="dxa"/>
            <w:hideMark/>
          </w:tcPr>
          <w:p w14:paraId="2E1594AB"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mostly compiling information and writing content, then uploading to the website.</w:t>
            </w:r>
          </w:p>
        </w:tc>
        <w:tc>
          <w:tcPr>
            <w:tcW w:w="3363" w:type="dxa"/>
            <w:hideMark/>
          </w:tcPr>
          <w:p w14:paraId="0CF540D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Ensuring information is accurate and kept up-to-date (if you improve something or if an elevator is temporarily out of service, update the site); covering all types of disabilities in the info; translating the info into relevant languages for tourists.</w:t>
            </w:r>
          </w:p>
        </w:tc>
        <w:tc>
          <w:tcPr>
            <w:tcW w:w="2268" w:type="dxa"/>
            <w:hideMark/>
          </w:tcPr>
          <w:p w14:paraId="37C41320"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direct cost if done in-house (just staff time). If the website is managed by an external contractor, there might be a small fee to add a new page.</w:t>
            </w:r>
          </w:p>
        </w:tc>
        <w:tc>
          <w:tcPr>
            <w:tcW w:w="3402" w:type="dxa"/>
            <w:hideMark/>
          </w:tcPr>
          <w:p w14:paraId="781E88D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issues; providing information is generally mandated by accessibility best practices. This can even reduce legal risk by not misleading visitors. The website itself should also meet accessibility standards (WCAG) – that is a separate web development concern.</w:t>
            </w:r>
          </w:p>
        </w:tc>
      </w:tr>
      <w:tr w:rsidR="00F431BE" w:rsidRPr="005933F6" w14:paraId="62E2ED47"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2619D6B5"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484EA7E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Improve website and online booking accessibility</w:t>
            </w:r>
            <w:r w:rsidRPr="005933F6">
              <w:rPr>
                <w:sz w:val="20"/>
                <w:szCs w:val="22"/>
                <w:lang w:val="en-GB"/>
              </w:rPr>
              <w:t>: Ensure the site’s web content (and any ticketing interface) is accessible – proper alt text on images, high-contrast text, keyboard navigability, forms with labels, etc. Addresses the barrier that some people can’t even plan or reserve a visit if the digital platforms are not accessible to screen readers or are too confusing.</w:t>
            </w:r>
          </w:p>
        </w:tc>
        <w:tc>
          <w:tcPr>
            <w:tcW w:w="1626" w:type="dxa"/>
            <w:hideMark/>
          </w:tcPr>
          <w:p w14:paraId="0C8D4EE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requires a review (audit) of the website against standards like WCAG 2.1 AA and implementing fixes.</w:t>
            </w:r>
          </w:p>
        </w:tc>
        <w:tc>
          <w:tcPr>
            <w:tcW w:w="3363" w:type="dxa"/>
            <w:hideMark/>
          </w:tcPr>
          <w:p w14:paraId="24197812"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May require coordination with your web agency or IT department; some fixes are trivial (adding alt tags) while others might need structural changes; if the booking system is a third-party plugin that is not accessible, you might need to advocate with that provider or offer an alternative booking method.</w:t>
            </w:r>
          </w:p>
        </w:tc>
        <w:tc>
          <w:tcPr>
            <w:tcW w:w="2268" w:type="dxa"/>
            <w:hideMark/>
          </w:tcPr>
          <w:p w14:paraId="0020173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to Moderate – a few hundred euros for a basic audit, to a few thousands for larger websites. Many museums leverage volunteer web experts to get audits done cheaply.</w:t>
            </w:r>
          </w:p>
        </w:tc>
        <w:tc>
          <w:tcPr>
            <w:tcW w:w="3402" w:type="dxa"/>
            <w:hideMark/>
          </w:tcPr>
          <w:p w14:paraId="6A2685A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Public sector sites in the EU (including many museums) are legally required to meet certain accessibility standards – so this might be a compliance issue. No physical site impact. It’s important to address because an inaccessible website can be a legal liability under equality laws.</w:t>
            </w:r>
          </w:p>
        </w:tc>
      </w:tr>
      <w:tr w:rsidR="00F431BE" w:rsidRPr="005933F6" w14:paraId="7460DA6D"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36B5A432"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7168DF1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Use QR codes or NFC tags to provide supplemental content</w:t>
            </w:r>
            <w:r w:rsidRPr="005933F6">
              <w:rPr>
                <w:sz w:val="20"/>
                <w:szCs w:val="22"/>
                <w:lang w:val="en-GB"/>
              </w:rPr>
              <w:t>: Place QR codes or NFC tags on signage or next to exhibits that link to accessible content. Addresses multiple barriers: blind visitors can get audio via their phone, deaf visitors can get sign language video if provided, those with cognitive disabilities can access simplified text on their own device, etc.</w:t>
            </w:r>
          </w:p>
        </w:tc>
        <w:tc>
          <w:tcPr>
            <w:tcW w:w="1626" w:type="dxa"/>
            <w:hideMark/>
          </w:tcPr>
          <w:p w14:paraId="5F444A47"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generate QR codes and print as stickers or small plaques, and ensure you have the digital content ready.</w:t>
            </w:r>
          </w:p>
        </w:tc>
        <w:tc>
          <w:tcPr>
            <w:tcW w:w="3363" w:type="dxa"/>
            <w:hideMark/>
          </w:tcPr>
          <w:p w14:paraId="59E2719D"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Visitors need smartphones and to know how to use QR codes (smartphone adoption is high, and QR scanning is straightforward now); need reliable internet or on-site Wi-Fi especially if media files are large; maintaining the content (if exhibits change, update the links or files behind the QR codes).</w:t>
            </w:r>
          </w:p>
        </w:tc>
        <w:tc>
          <w:tcPr>
            <w:tcW w:w="2268" w:type="dxa"/>
            <w:hideMark/>
          </w:tcPr>
          <w:p w14:paraId="5F2D7C7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printing QR code labels is very cheap (a few cents each. The main cost is producing the content behind them. Hosting the content online is usually negligible cost.</w:t>
            </w:r>
          </w:p>
        </w:tc>
        <w:tc>
          <w:tcPr>
            <w:tcW w:w="3402" w:type="dxa"/>
            <w:hideMark/>
          </w:tcPr>
          <w:p w14:paraId="6F0D82D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Minimal physical impact – the stickers/plaques should be placed discreetly. Use adhesive that can be removed cleanly. Ensure the codes are placed at a height reachable by wheelchair users and near enough to exhibits for context. This is a flexible solution that typically doesn’t conflict with preservation rules.</w:t>
            </w:r>
          </w:p>
        </w:tc>
      </w:tr>
      <w:tr w:rsidR="00F431BE" w:rsidRPr="005933F6" w14:paraId="39FCFEAA"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2A87884"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Quick Win</w:t>
            </w:r>
          </w:p>
        </w:tc>
        <w:tc>
          <w:tcPr>
            <w:tcW w:w="4056" w:type="dxa"/>
            <w:hideMark/>
          </w:tcPr>
          <w:p w14:paraId="54242F9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Provide tablets or iPads with accessible content on-site</w:t>
            </w:r>
            <w:r w:rsidRPr="005933F6">
              <w:rPr>
                <w:sz w:val="20"/>
                <w:szCs w:val="22"/>
                <w:lang w:val="en-GB"/>
              </w:rPr>
              <w:t>: Make available a couple of tablets that are loaded with accessibility apps or specialized content (e.g., an app that narrates exhibits). Addresses the barrier for those who don’t have smartphones or need a device tailored for on-site use with pre-loaded content.</w:t>
            </w:r>
          </w:p>
        </w:tc>
        <w:tc>
          <w:tcPr>
            <w:tcW w:w="1626" w:type="dxa"/>
            <w:hideMark/>
          </w:tcPr>
          <w:p w14:paraId="0B430403"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involves procuring devices and setting up secure configurations.</w:t>
            </w:r>
          </w:p>
        </w:tc>
        <w:tc>
          <w:tcPr>
            <w:tcW w:w="3363" w:type="dxa"/>
            <w:hideMark/>
          </w:tcPr>
          <w:p w14:paraId="24FD8B22"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Risk of theft or damage; devices need daily charging and occasional software updates; staff must sanitize them between uses; content on devices must be intuitive and cover what visitors need without requiring internet (in case offline use).</w:t>
            </w:r>
          </w:p>
        </w:tc>
        <w:tc>
          <w:tcPr>
            <w:tcW w:w="2268" w:type="dxa"/>
            <w:hideMark/>
          </w:tcPr>
          <w:p w14:paraId="2DCF58FD"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a new iPad or Android tablet is a few hundred euros. Kiosk stands can be another few hundred each. Each station might be €500–€800 all-in.</w:t>
            </w:r>
          </w:p>
        </w:tc>
        <w:tc>
          <w:tcPr>
            <w:tcW w:w="3402" w:type="dxa"/>
            <w:hideMark/>
          </w:tcPr>
          <w:p w14:paraId="0695C04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heritage impact if devices are handheld or on stands (avoid drilling mounts into historic surfaces; use floor stands or existing furniture). Ensure any fixed installations are in accessible locations (height for wheelchair, angle to avoid glare).</w:t>
            </w:r>
          </w:p>
        </w:tc>
      </w:tr>
      <w:tr w:rsidR="00F431BE" w:rsidRPr="005933F6" w14:paraId="27720440"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39C28810"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76EAB28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Virtual tours or 360° photos for remote access</w:t>
            </w:r>
            <w:r w:rsidRPr="005933F6">
              <w:rPr>
                <w:sz w:val="20"/>
                <w:szCs w:val="22"/>
                <w:lang w:val="en-GB"/>
              </w:rPr>
              <w:t>: Create a simple virtual tour on your website (using 360° photographs or a video walkthrough of key areas). This allows people who can’t visit in person (due to disability, distance, or health) to still experience parts of the site. Addresses the barrier of physical inaccessibility or travel limitations by providing a digital alternative to being there.</w:t>
            </w:r>
          </w:p>
        </w:tc>
        <w:tc>
          <w:tcPr>
            <w:tcW w:w="1626" w:type="dxa"/>
            <w:hideMark/>
          </w:tcPr>
          <w:p w14:paraId="24CF5097"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to Moderate – taking 360° photos of rooms or exhibits can be done with smartphones</w:t>
            </w:r>
          </w:p>
        </w:tc>
        <w:tc>
          <w:tcPr>
            <w:tcW w:w="3363" w:type="dxa"/>
            <w:hideMark/>
          </w:tcPr>
          <w:p w14:paraId="4053743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Getting good image quality (lighting, no crowds in the shot) requires some planning (may need to photograph before/after hours). Ensuring the virtual tour is itself accessible (provide text descriptions of scenes for blind users, maybe captions on any audio) is often overlooked. Need to update the tour if exhibits change significantly.</w:t>
            </w:r>
          </w:p>
        </w:tc>
        <w:tc>
          <w:tcPr>
            <w:tcW w:w="2268" w:type="dxa"/>
            <w:hideMark/>
          </w:tcPr>
          <w:p w14:paraId="5C9E472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basic equipment or hiring a photographer might be a few hundred euros. There are even free tools to create virtual tours. More sophisticated interactive virtual tours could cost a couple thousand.</w:t>
            </w:r>
          </w:p>
        </w:tc>
        <w:tc>
          <w:tcPr>
            <w:tcW w:w="3402" w:type="dxa"/>
            <w:hideMark/>
          </w:tcPr>
          <w:p w14:paraId="3F1BC56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on-site impact. This is about reaching people off-site. It can also serve as an accessibility preview – wheelchair users, for example, can virtually see the route and know what to expect. Just be careful not to violate any image licensing.</w:t>
            </w:r>
          </w:p>
        </w:tc>
      </w:tr>
      <w:tr w:rsidR="00F431BE" w:rsidRPr="005933F6" w14:paraId="3311D601"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5C19C551"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63B3ABD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Custom mobile app with advanced accessibility features</w:t>
            </w:r>
            <w:r w:rsidRPr="005933F6">
              <w:rPr>
                <w:sz w:val="20"/>
                <w:szCs w:val="22"/>
                <w:lang w:val="en-GB"/>
              </w:rPr>
              <w:t>: Develop a dedicated smartphone app for the site that visitors can use as a personal tour guide. Include features like audio descriptions for all exhibits, an interactive map with GPS or indoor positioning to guide wheelchair users on accessible routes, the ability to adjust font sizes/high contrast for low-vision users, etc. This addresses a wide range of barriers by tailoring the experience to individual needs via technology.</w:t>
            </w:r>
          </w:p>
        </w:tc>
        <w:tc>
          <w:tcPr>
            <w:tcW w:w="1626" w:type="dxa"/>
            <w:hideMark/>
          </w:tcPr>
          <w:p w14:paraId="7ED5054A"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High – requires hiring app developers and content creators; integrating possibly complex features</w:t>
            </w:r>
          </w:p>
        </w:tc>
        <w:tc>
          <w:tcPr>
            <w:tcW w:w="3363" w:type="dxa"/>
            <w:hideMark/>
          </w:tcPr>
          <w:p w14:paraId="4D38D71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development and maintenance effort; must support multiple phone types (iOS, Android) and be user-friendly for a range of abilities; keeping content updated (the app is like a parallel digital exhibit that needs revisions whenever physical exhibits change); convincing visitors to download it (marketing, offering free Wi-Fi or QR code to get it on-site).</w:t>
            </w:r>
          </w:p>
        </w:tc>
        <w:tc>
          <w:tcPr>
            <w:tcW w:w="2268" w:type="dxa"/>
            <w:hideMark/>
          </w:tcPr>
          <w:p w14:paraId="189FE30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a fully featured app can easily be €10.000–€50.000 depending on scope. Indoor navigation or AR features push it to the higher end. There may be cheaper templated solutions, but customization is usually needed.</w:t>
            </w:r>
          </w:p>
        </w:tc>
        <w:tc>
          <w:tcPr>
            <w:tcW w:w="3402" w:type="dxa"/>
            <w:hideMark/>
          </w:tcPr>
          <w:p w14:paraId="48D51EF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physical impact. It can greatly enhance compliance with accessibility requirements (digital means to access info). However, not everyone uses apps – so it should augment but not replace physical improvements. Also, any indoor positioning tech should be installed carefully in a heritage building (small devices, battery or low-voltage, often allowed with minimal hassle).</w:t>
            </w:r>
          </w:p>
        </w:tc>
      </w:tr>
      <w:tr w:rsidR="00F431BE" w:rsidRPr="005933F6" w14:paraId="4015DB5B"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E4BA9E5"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Long-Term</w:t>
            </w:r>
          </w:p>
        </w:tc>
        <w:tc>
          <w:tcPr>
            <w:tcW w:w="4056" w:type="dxa"/>
            <w:hideMark/>
          </w:tcPr>
          <w:p w14:paraId="47C1A59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Interactive kiosk installations (accessible design)</w:t>
            </w:r>
            <w:r w:rsidRPr="005933F6">
              <w:rPr>
                <w:sz w:val="20"/>
                <w:szCs w:val="22"/>
                <w:lang w:val="en-GB"/>
              </w:rPr>
              <w:t>: Install permanent digital kiosks that provide information or virtual experiences with inclusive features. For example, a touch-screen kiosk that has an audio output and tactile buttons or an option to plug in personal headphones, and content in sign language and multiple languages. Addresses barriers by having a station on-site where information is available in multiple formats.</w:t>
            </w:r>
          </w:p>
        </w:tc>
        <w:tc>
          <w:tcPr>
            <w:tcW w:w="1626" w:type="dxa"/>
            <w:hideMark/>
          </w:tcPr>
          <w:p w14:paraId="6AFB2F5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involves hardware purchase (durable kiosk units) and custom software/content development for the kiosk.</w:t>
            </w:r>
          </w:p>
        </w:tc>
        <w:tc>
          <w:tcPr>
            <w:tcW w:w="3363" w:type="dxa"/>
            <w:hideMark/>
          </w:tcPr>
          <w:p w14:paraId="4153ABA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Hardware can malfunction or become outdated – needs maintenance. Visitors might queue if there are too few kiosks. Content must be maintained (same issue as apps, any change in exhibits means updating the kiosk software). If touchscreens are the main interface, need to also have tactile or alternate input for those who can’t use touchscreens.</w:t>
            </w:r>
          </w:p>
        </w:tc>
        <w:tc>
          <w:tcPr>
            <w:tcW w:w="2268" w:type="dxa"/>
            <w:hideMark/>
          </w:tcPr>
          <w:p w14:paraId="41ED863A"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a professional kiosk is often €5.000–€10.000 each. Software development can be similar or more, depending on complexity. Total could be tens of thousands, which is why many sites start with just one.</w:t>
            </w:r>
          </w:p>
        </w:tc>
        <w:tc>
          <w:tcPr>
            <w:tcW w:w="3402" w:type="dxa"/>
            <w:hideMark/>
          </w:tcPr>
          <w:p w14:paraId="5043475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Freestanding kiosks are usually fine even in historic settings (they’re considered temporary installations). Just place them where they don’t mar the historic ambiance. Power supply might need routing (use existing outlets to avoid new wiring). Kiosks should follow ICT accessibility standards (like EN 301 549 in the EU for public terminals).</w:t>
            </w:r>
          </w:p>
        </w:tc>
      </w:tr>
      <w:tr w:rsidR="00F431BE" w:rsidRPr="005933F6" w14:paraId="7E6625AE"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218D15B7"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3C86D74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Augmented Reality (AR) features or devices</w:t>
            </w:r>
            <w:r w:rsidRPr="005933F6">
              <w:rPr>
                <w:sz w:val="20"/>
                <w:szCs w:val="22"/>
                <w:lang w:val="en-GB"/>
              </w:rPr>
              <w:t>: Implement AR to enhance accessibility – for instance, an AR app or headset that when pointed at an exhibit can provide additional information in accessible formats. A creative option is AR glasses that show real-time subtitles or a sign language avatar. Addresses barriers by using AR to overcome the need for physical alterations or additional staff.</w:t>
            </w:r>
          </w:p>
        </w:tc>
        <w:tc>
          <w:tcPr>
            <w:tcW w:w="1626" w:type="dxa"/>
            <w:hideMark/>
          </w:tcPr>
          <w:p w14:paraId="1BFDE22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High – AR glasses for captioning are very expensive. Mobile AR is more accessible but less immersive.</w:t>
            </w:r>
          </w:p>
        </w:tc>
        <w:tc>
          <w:tcPr>
            <w:tcW w:w="3363" w:type="dxa"/>
            <w:hideMark/>
          </w:tcPr>
          <w:p w14:paraId="75D931A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Technology might be ahead of widespread user adoption – not many visitors have their own AR glasses. Providing glasses is costly and they require maintenance and cleaning. AR via phone means visitors holding up phones a lot, which some may find awkward.</w:t>
            </w:r>
          </w:p>
        </w:tc>
        <w:tc>
          <w:tcPr>
            <w:tcW w:w="2268" w:type="dxa"/>
            <w:hideMark/>
          </w:tcPr>
          <w:p w14:paraId="2852C4D0"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developing an AR feature could easily exceed €20.000. AR glasses themselves cost several thousand euros each, though prices may fall in the future.</w:t>
            </w:r>
          </w:p>
        </w:tc>
        <w:tc>
          <w:tcPr>
            <w:tcW w:w="3402" w:type="dxa"/>
            <w:hideMark/>
          </w:tcPr>
          <w:p w14:paraId="0A551DD5"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alteration of the site, which is a benefit. The main considerations are visitor safety (people walking while looking through phones or glasses – ensure they still watch their step, maybe use AR in stationary spots). Also, any hardware loan (glasses) needs similar handling as other devices.</w:t>
            </w:r>
          </w:p>
        </w:tc>
      </w:tr>
      <w:tr w:rsidR="00F431BE" w:rsidRPr="005933F6" w14:paraId="06BDB383"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2FC071FB"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04E1881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On-site Virtual Reality (VR) experiences for inaccessible areas</w:t>
            </w:r>
            <w:r w:rsidRPr="005933F6">
              <w:rPr>
                <w:sz w:val="20"/>
                <w:szCs w:val="22"/>
                <w:lang w:val="en-GB"/>
              </w:rPr>
              <w:t>: Set up a VR station where visitors with mobility issues can virtually experience parts of the site that are physically hard to access. For example, a VR tour of the narrow tower staircase and the view from the top. Addresses the barrier of missing out on key experiences due to physical constraints.</w:t>
            </w:r>
          </w:p>
        </w:tc>
        <w:tc>
          <w:tcPr>
            <w:tcW w:w="1626" w:type="dxa"/>
            <w:hideMark/>
          </w:tcPr>
          <w:p w14:paraId="5B2DE4DE"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creating VR content and providing VR equipment. Staff to assist users who may be unfamiliar with VR.</w:t>
            </w:r>
          </w:p>
        </w:tc>
        <w:tc>
          <w:tcPr>
            <w:tcW w:w="3363" w:type="dxa"/>
            <w:hideMark/>
          </w:tcPr>
          <w:p w14:paraId="0AB1F9AF" w14:textId="455C7A8D"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Content creation can be complex (a high-quality VR reconstruction of, say, an ancient castle’s upper floor might need professional 3D scanning and modelling). VR can cause motion sickness, so experiences should be short or designed carefully. Equipment must be cleaned and maintained.</w:t>
            </w:r>
          </w:p>
        </w:tc>
        <w:tc>
          <w:tcPr>
            <w:tcW w:w="2268" w:type="dxa"/>
            <w:hideMark/>
          </w:tcPr>
          <w:p w14:paraId="68C46AAA"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a decent VR setup is €1.000–€3.000. Creating the content could range from a few thousand to tens of thousands (for a fully interactive 3D environment).</w:t>
            </w:r>
          </w:p>
        </w:tc>
        <w:tc>
          <w:tcPr>
            <w:tcW w:w="3402" w:type="dxa"/>
            <w:hideMark/>
          </w:tcPr>
          <w:p w14:paraId="523CEF85"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No building modifications – in fact, this is often proposed as a solution when physical access would be too invasive to improve. Just need a space to let people sit and use VR safely. This should not replace continuing to improve physical access where possible, but it’s a great </w:t>
            </w:r>
            <w:proofErr w:type="spellStart"/>
            <w:r w:rsidRPr="005933F6">
              <w:rPr>
                <w:sz w:val="20"/>
                <w:szCs w:val="22"/>
                <w:lang w:val="en-GB"/>
              </w:rPr>
              <w:t>complement</w:t>
            </w:r>
            <w:proofErr w:type="spellEnd"/>
            <w:r w:rsidRPr="005933F6">
              <w:rPr>
                <w:sz w:val="20"/>
                <w:szCs w:val="22"/>
                <w:lang w:val="en-GB"/>
              </w:rPr>
              <w:t>.</w:t>
            </w:r>
          </w:p>
        </w:tc>
      </w:tr>
    </w:tbl>
    <w:p w14:paraId="369C552C" w14:textId="77777777" w:rsidR="00F431BE" w:rsidRPr="005933F6" w:rsidRDefault="00F431BE" w:rsidP="00F431BE">
      <w:pPr>
        <w:pStyle w:val="Heading1"/>
        <w:numPr>
          <w:ilvl w:val="0"/>
          <w:numId w:val="82"/>
        </w:numPr>
      </w:pPr>
      <w:bookmarkStart w:id="10" w:name="_Toc219893723"/>
      <w:bookmarkStart w:id="11" w:name="_Toc219995096"/>
      <w:r w:rsidRPr="005933F6">
        <w:lastRenderedPageBreak/>
        <w:t>Inclusive Exhibits</w:t>
      </w:r>
      <w:bookmarkEnd w:id="10"/>
      <w:bookmarkEnd w:id="11"/>
    </w:p>
    <w:tbl>
      <w:tblPr>
        <w:tblStyle w:val="GridTable1Light"/>
        <w:tblW w:w="15451" w:type="dxa"/>
        <w:tblInd w:w="-714" w:type="dxa"/>
        <w:tblLook w:val="04A0" w:firstRow="1" w:lastRow="0" w:firstColumn="1" w:lastColumn="0" w:noHBand="0" w:noVBand="1"/>
      </w:tblPr>
      <w:tblGrid>
        <w:gridCol w:w="736"/>
        <w:gridCol w:w="4056"/>
        <w:gridCol w:w="1626"/>
        <w:gridCol w:w="3363"/>
        <w:gridCol w:w="2268"/>
        <w:gridCol w:w="3402"/>
      </w:tblGrid>
      <w:tr w:rsidR="00F431BE" w:rsidRPr="005933F6" w14:paraId="5D0AD4E0" w14:textId="77777777" w:rsidTr="00A370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6" w:type="dxa"/>
            <w:hideMark/>
          </w:tcPr>
          <w:p w14:paraId="267C55BF" w14:textId="77777777" w:rsidR="00F431BE" w:rsidRPr="005933F6" w:rsidRDefault="00F431BE" w:rsidP="00A3701E">
            <w:pPr>
              <w:spacing w:after="160" w:line="278" w:lineRule="auto"/>
              <w:jc w:val="left"/>
              <w:rPr>
                <w:sz w:val="20"/>
                <w:szCs w:val="22"/>
                <w:lang w:val="en-GB"/>
              </w:rPr>
            </w:pPr>
            <w:r w:rsidRPr="005933F6">
              <w:rPr>
                <w:sz w:val="20"/>
                <w:szCs w:val="22"/>
                <w:lang w:val="en-GB"/>
              </w:rPr>
              <w:t>Type</w:t>
            </w:r>
          </w:p>
        </w:tc>
        <w:tc>
          <w:tcPr>
            <w:tcW w:w="4056" w:type="dxa"/>
            <w:hideMark/>
          </w:tcPr>
          <w:p w14:paraId="0AF25549"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b w:val="0"/>
                <w:bCs w:val="0"/>
                <w:sz w:val="20"/>
                <w:szCs w:val="22"/>
                <w:lang w:val="en-GB"/>
              </w:rPr>
            </w:pPr>
            <w:r w:rsidRPr="005933F6">
              <w:rPr>
                <w:sz w:val="20"/>
                <w:szCs w:val="22"/>
                <w:lang w:val="en-GB"/>
              </w:rPr>
              <w:t>Solution &amp; Description</w:t>
            </w:r>
            <w:r w:rsidRPr="005933F6">
              <w:rPr>
                <w:b w:val="0"/>
                <w:bCs w:val="0"/>
                <w:sz w:val="20"/>
                <w:szCs w:val="22"/>
                <w:lang w:val="en-GB"/>
              </w:rPr>
              <w:t xml:space="preserve"> </w:t>
            </w:r>
            <w:r w:rsidRPr="005933F6">
              <w:rPr>
                <w:sz w:val="20"/>
                <w:szCs w:val="22"/>
                <w:lang w:val="en-GB"/>
              </w:rPr>
              <w:t>(Barrier Addressed)</w:t>
            </w:r>
          </w:p>
        </w:tc>
        <w:tc>
          <w:tcPr>
            <w:tcW w:w="1626" w:type="dxa"/>
            <w:hideMark/>
          </w:tcPr>
          <w:p w14:paraId="0DBE7D48"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Implementation Difficulty</w:t>
            </w:r>
          </w:p>
        </w:tc>
        <w:tc>
          <w:tcPr>
            <w:tcW w:w="3363" w:type="dxa"/>
            <w:hideMark/>
          </w:tcPr>
          <w:p w14:paraId="5FD8E9A1"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Obstacles/Barriers to Implementation</w:t>
            </w:r>
          </w:p>
        </w:tc>
        <w:tc>
          <w:tcPr>
            <w:tcW w:w="2268" w:type="dxa"/>
            <w:hideMark/>
          </w:tcPr>
          <w:p w14:paraId="1F87A15A"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Cost (Estimate)</w:t>
            </w:r>
          </w:p>
        </w:tc>
        <w:tc>
          <w:tcPr>
            <w:tcW w:w="3402" w:type="dxa"/>
            <w:hideMark/>
          </w:tcPr>
          <w:p w14:paraId="3145C7B2" w14:textId="77777777" w:rsidR="00F431BE" w:rsidRPr="005933F6" w:rsidRDefault="00F431BE" w:rsidP="00A3701E">
            <w:pPr>
              <w:spacing w:after="160" w:line="278" w:lineRule="auto"/>
              <w:jc w:val="left"/>
              <w:cnfStyle w:val="100000000000" w:firstRow="1"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Regulatory/Historic Preservation Issues</w:t>
            </w:r>
          </w:p>
        </w:tc>
      </w:tr>
      <w:tr w:rsidR="00F431BE" w:rsidRPr="005933F6" w14:paraId="6DBB9186"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03956DB8"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169EE53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Add tactile replicas or touchable objects to exhibits</w:t>
            </w:r>
            <w:r w:rsidRPr="005933F6">
              <w:rPr>
                <w:sz w:val="20"/>
                <w:szCs w:val="22"/>
                <w:lang w:val="en-GB"/>
              </w:rPr>
              <w:t xml:space="preserve">: Provide a replica or sample object that visitors </w:t>
            </w:r>
            <w:r w:rsidRPr="005933F6">
              <w:rPr>
                <w:i/>
                <w:iCs/>
                <w:sz w:val="20"/>
                <w:szCs w:val="22"/>
                <w:lang w:val="en-GB"/>
              </w:rPr>
              <w:t>can</w:t>
            </w:r>
            <w:r w:rsidRPr="005933F6">
              <w:rPr>
                <w:sz w:val="20"/>
                <w:szCs w:val="22"/>
                <w:lang w:val="en-GB"/>
              </w:rPr>
              <w:t xml:space="preserve"> touch for exhibits that are otherwise “do not touch.” Addresses the barrier that blind visitors and those who learn by touch are left out when nothing can be touched.</w:t>
            </w:r>
          </w:p>
        </w:tc>
        <w:tc>
          <w:tcPr>
            <w:tcW w:w="1626" w:type="dxa"/>
            <w:hideMark/>
          </w:tcPr>
          <w:p w14:paraId="68CD343E"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to Moderate – obtaining or making a replica requires some planning. Needs a display method.</w:t>
            </w:r>
          </w:p>
        </w:tc>
        <w:tc>
          <w:tcPr>
            <w:tcW w:w="3363" w:type="dxa"/>
            <w:hideMark/>
          </w:tcPr>
          <w:p w14:paraId="235A1B9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Ensuring the replica is clearly identified so it’s not mistaken for the original; it must be durable and safe (no sharp edges, non-toxic materials). Also, some objects don’t have obvious replicas – might need creative substitution. Cleaning the items regularly since many hands will touch them.</w:t>
            </w:r>
          </w:p>
        </w:tc>
        <w:tc>
          <w:tcPr>
            <w:tcW w:w="2268" w:type="dxa"/>
            <w:hideMark/>
          </w:tcPr>
          <w:p w14:paraId="52E2683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to Moderate – small 3D prints or casts might be a few hundred euros each. Simple touch objects even less. You might prioritize a handful of key items to replicate first.</w:t>
            </w:r>
          </w:p>
        </w:tc>
        <w:tc>
          <w:tcPr>
            <w:tcW w:w="3402" w:type="dxa"/>
            <w:hideMark/>
          </w:tcPr>
          <w:p w14:paraId="52C514CB"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preservation issues as long as the original remains untouched. Choose how to present the replica carefully – if mounting it in an exhibit, use a mount that doesn’t harm original displays. There’s usually no regulatory hurdle. Just avoid using protected artifacts as touch objects.</w:t>
            </w:r>
          </w:p>
        </w:tc>
      </w:tr>
      <w:tr w:rsidR="00F431BE" w:rsidRPr="005933F6" w14:paraId="1F455A90"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FCAC374"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30B92A0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Introduce audio or scent elements to enrich an exhibit</w:t>
            </w:r>
            <w:r w:rsidRPr="005933F6">
              <w:rPr>
                <w:sz w:val="20"/>
                <w:szCs w:val="22"/>
                <w:lang w:val="en-GB"/>
              </w:rPr>
              <w:t>: For exhibits that currently rely on visuals or text alone, add a complementary audio track (ambient sound, spoken commentary) or a smell relevant to the exhibit. For instance, an exhibit on an old bakery could have a bread scent; a rainforest exhibit could play jungle sounds. Addresses the barrier of single-sense exhibits by engaging other senses, making it more inclusive and immersive.</w:t>
            </w:r>
          </w:p>
        </w:tc>
        <w:tc>
          <w:tcPr>
            <w:tcW w:w="1626" w:type="dxa"/>
            <w:hideMark/>
          </w:tcPr>
          <w:p w14:paraId="4A8F510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adding a small audio player or diffuser. The creative part is sourcing or producing appropriate sounds and scents.</w:t>
            </w:r>
          </w:p>
        </w:tc>
        <w:tc>
          <w:tcPr>
            <w:tcW w:w="3363" w:type="dxa"/>
            <w:hideMark/>
          </w:tcPr>
          <w:p w14:paraId="77242945" w14:textId="170B4832"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 xml:space="preserve">Needs careful calibration – sound shouldn’t bleed into other areas (use directional speakers or headphones), scents shouldn’t be too strong or cause allergic reactions (provide info for those sensitive). Also, some visitors might find it gimmicky if overdone; best if it genuinely relates to content. Scent equipment requires refills and cleaning to prevent </w:t>
            </w:r>
            <w:r w:rsidR="005933F6" w:rsidRPr="005933F6">
              <w:rPr>
                <w:sz w:val="20"/>
                <w:szCs w:val="22"/>
                <w:lang w:val="en-GB"/>
              </w:rPr>
              <w:t>odour</w:t>
            </w:r>
            <w:r w:rsidRPr="005933F6">
              <w:rPr>
                <w:sz w:val="20"/>
                <w:szCs w:val="22"/>
                <w:lang w:val="en-GB"/>
              </w:rPr>
              <w:t xml:space="preserve"> build-up.</w:t>
            </w:r>
          </w:p>
        </w:tc>
        <w:tc>
          <w:tcPr>
            <w:tcW w:w="2268" w:type="dxa"/>
            <w:hideMark/>
          </w:tcPr>
          <w:p w14:paraId="415030F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Low – a basic speaker and MP3 player: €100. Royalty-free sound clips might be free or cheap. Scent diffuser machines vary, but small ones €50; scent cartridges/oils maybe €10–€20 per month per diffuser.</w:t>
            </w:r>
          </w:p>
        </w:tc>
        <w:tc>
          <w:tcPr>
            <w:tcW w:w="3402" w:type="dxa"/>
            <w:hideMark/>
          </w:tcPr>
          <w:p w14:paraId="3C72E84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major issues. Using sound and smell does not violate preservation rules typically, as long as any devices are installed non-destructively. Be mindful of fire safety with diffusers. Also consider ventilation – scents should dissipate and not cling to artifacts.</w:t>
            </w:r>
          </w:p>
        </w:tc>
      </w:tr>
      <w:tr w:rsidR="00F431BE" w:rsidRPr="005933F6" w14:paraId="3A782E86"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42B00255" w14:textId="77777777" w:rsidR="00F431BE" w:rsidRPr="005933F6" w:rsidRDefault="00F431BE" w:rsidP="00A3701E">
            <w:pPr>
              <w:spacing w:after="160" w:line="278" w:lineRule="auto"/>
              <w:rPr>
                <w:sz w:val="20"/>
                <w:szCs w:val="22"/>
                <w:lang w:val="en-GB"/>
              </w:rPr>
            </w:pPr>
            <w:r w:rsidRPr="005933F6">
              <w:rPr>
                <w:sz w:val="20"/>
                <w:szCs w:val="22"/>
                <w:lang w:val="en-GB"/>
              </w:rPr>
              <w:t>Quick Win</w:t>
            </w:r>
          </w:p>
        </w:tc>
        <w:tc>
          <w:tcPr>
            <w:tcW w:w="4056" w:type="dxa"/>
            <w:hideMark/>
          </w:tcPr>
          <w:p w14:paraId="75563D4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Temporary adjustments for accessible viewing</w:t>
            </w:r>
            <w:r w:rsidRPr="005933F6">
              <w:rPr>
                <w:sz w:val="20"/>
                <w:szCs w:val="22"/>
                <w:lang w:val="en-GB"/>
              </w:rPr>
              <w:t>: Make simple modifications for better accessibility sightlines or reach – e.g., provide a portable periscope or mirror so wheelchair users can see into high display cases. Addresses the barrier of exhibits positioned out of comfortable view for some visitors.</w:t>
            </w:r>
          </w:p>
        </w:tc>
        <w:tc>
          <w:tcPr>
            <w:tcW w:w="1626" w:type="dxa"/>
            <w:hideMark/>
          </w:tcPr>
          <w:p w14:paraId="087AF60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Easy – periscopes can be store-bought or custom-made; a mirror on an adjustable stand.</w:t>
            </w:r>
          </w:p>
        </w:tc>
        <w:tc>
          <w:tcPr>
            <w:tcW w:w="3363" w:type="dxa"/>
            <w:hideMark/>
          </w:tcPr>
          <w:p w14:paraId="703CA3B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These aids might need staff assistance to use safely (especially a step stool to prevent falls). Periscopes and mirrors must be kept clean to be useful. They should be offered proactively or via signage.</w:t>
            </w:r>
          </w:p>
        </w:tc>
        <w:tc>
          <w:tcPr>
            <w:tcW w:w="2268" w:type="dxa"/>
            <w:hideMark/>
          </w:tcPr>
          <w:p w14:paraId="61624A8C"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low – a toy periscope is &lt; €20; a sturdier optical device might be €100. A good quality wide-angle mirror on a stand could be €100–€200.</w:t>
            </w:r>
          </w:p>
        </w:tc>
        <w:tc>
          <w:tcPr>
            <w:tcW w:w="3402" w:type="dxa"/>
            <w:hideMark/>
          </w:tcPr>
          <w:p w14:paraId="12D2C264"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building changes. This is a pragmatic workaround. Ensure any equipment like a stool or mirror doesn’t inadvertently cause damage. Train staff on safe usage. Since this doesn’t alter exhibits, it’s an acceptable accessibility aid even in strict heritage sites.</w:t>
            </w:r>
          </w:p>
        </w:tc>
      </w:tr>
      <w:tr w:rsidR="00F431BE" w:rsidRPr="005933F6" w14:paraId="188DBB76"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2F9DAD5D"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Quick Win</w:t>
            </w:r>
          </w:p>
        </w:tc>
        <w:tc>
          <w:tcPr>
            <w:tcW w:w="4056" w:type="dxa"/>
            <w:hideMark/>
          </w:tcPr>
          <w:p w14:paraId="4F1084B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Dual-format labels (text + Braille/tactile or text + images)</w:t>
            </w:r>
            <w:r w:rsidRPr="005933F6">
              <w:rPr>
                <w:sz w:val="20"/>
                <w:szCs w:val="22"/>
                <w:lang w:val="en-GB"/>
              </w:rPr>
              <w:t>: For one or two important exhibits, provide labels that combine visual text with tactile or pictorial information. For example, a plaque that has raised letters or Braille alongside print, or includes a relief outline of an artifact next to its description. Addresses the barrier of standard print labels being inaccessible to blind visitors and not as engaging for some learners.</w:t>
            </w:r>
          </w:p>
        </w:tc>
        <w:tc>
          <w:tcPr>
            <w:tcW w:w="1626" w:type="dxa"/>
            <w:hideMark/>
          </w:tcPr>
          <w:p w14:paraId="47C0B966"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designing and fabricating such labels requires a bit more effort - work with Braille translators and possibly graphic designers for tactile images.</w:t>
            </w:r>
          </w:p>
        </w:tc>
        <w:tc>
          <w:tcPr>
            <w:tcW w:w="3363" w:type="dxa"/>
            <w:hideMark/>
          </w:tcPr>
          <w:p w14:paraId="47955220"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Space can be an issue – Braille and raised images take more room, so it might not fit in the same spot as the regular label. May need to place it slightly separately but clearly connected to the artifact. Also, tactile labels must be within reachable height. Risk of damage if too many people touch (materials like engraved metal or high-resin 3D prints are durable).</w:t>
            </w:r>
          </w:p>
        </w:tc>
        <w:tc>
          <w:tcPr>
            <w:tcW w:w="2268" w:type="dxa"/>
            <w:hideMark/>
          </w:tcPr>
          <w:p w14:paraId="467C67D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e.g., a metal label with Braille and raised lettering might cost €30–€50. A tactile graphic might cost a couple of hundred euros per piece, depending on size and technique. For many exhibits it scales the cost up.</w:t>
            </w:r>
          </w:p>
        </w:tc>
        <w:tc>
          <w:tcPr>
            <w:tcW w:w="3402" w:type="dxa"/>
            <w:hideMark/>
          </w:tcPr>
          <w:p w14:paraId="2DA7C718"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major issues; it’s an add-on. Just mount tactile labels securely so they don’t get removed. In a historic house, you might use a stand instead of sticking anything to antique walls. Braille labels often get a pass even in strict settings because they’re low-profile and serve a clear need.</w:t>
            </w:r>
          </w:p>
        </w:tc>
      </w:tr>
      <w:tr w:rsidR="00F431BE" w:rsidRPr="005933F6" w14:paraId="13D8F15E"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105D6C3F"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6B0E603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Universally designed exhibits (multi-sensory, multi-modal)</w:t>
            </w:r>
            <w:r w:rsidRPr="005933F6">
              <w:rPr>
                <w:sz w:val="20"/>
                <w:szCs w:val="22"/>
                <w:lang w:val="en-GB"/>
              </w:rPr>
              <w:t>: Plan new exhibits following universal design principles so that from the outset they include multi-sensory and multi-modal elements. The goal is an exhibit experience usable by all visitors, not as separate “special” features. This addresses essentially all categories of barriers by integrating solutions into the core design.</w:t>
            </w:r>
          </w:p>
        </w:tc>
        <w:tc>
          <w:tcPr>
            <w:tcW w:w="1626" w:type="dxa"/>
            <w:hideMark/>
          </w:tcPr>
          <w:p w14:paraId="218DE1B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High – It often means assembling a multidisciplinary team and iterating prototypes.</w:t>
            </w:r>
          </w:p>
        </w:tc>
        <w:tc>
          <w:tcPr>
            <w:tcW w:w="3363" w:type="dxa"/>
            <w:hideMark/>
          </w:tcPr>
          <w:p w14:paraId="5B190B1C"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Time and cost: universal design can slightly increase initial design time as you brainstorm inclusive solutions. There can be resistance. Some features might add complexity. However, many UD solutions are clever rather than expensive – but they do require commitment.</w:t>
            </w:r>
          </w:p>
        </w:tc>
        <w:tc>
          <w:tcPr>
            <w:tcW w:w="2268" w:type="dxa"/>
            <w:hideMark/>
          </w:tcPr>
          <w:p w14:paraId="6ACC250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Very High – For example, tactile models, audio systems, and interactive tech all in one exhibit hall could add tens of thousands to the budget compared to a traditional exhibit with just text and images.</w:t>
            </w:r>
          </w:p>
        </w:tc>
        <w:tc>
          <w:tcPr>
            <w:tcW w:w="3402" w:type="dxa"/>
            <w:hideMark/>
          </w:tcPr>
          <w:p w14:paraId="34B4B6E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Generally supported by modern accessibility laws and philosophies. When done right, it shouldn’t violate preservation rules because you design within constraints. Key is to ensure any added physical structures are reversible and don’t harm the site. Engaging heritage architects early can yield creative solutions.</w:t>
            </w:r>
          </w:p>
        </w:tc>
      </w:tr>
      <w:tr w:rsidR="00F431BE" w:rsidRPr="005933F6" w14:paraId="3B875D54"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04B060E5"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7D81D813"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Comprehensive tactile and audio representation of collections</w:t>
            </w:r>
            <w:r w:rsidRPr="005933F6">
              <w:rPr>
                <w:sz w:val="20"/>
                <w:szCs w:val="22"/>
                <w:lang w:val="en-GB"/>
              </w:rPr>
              <w:t>: Invest in creating tactile versions of key objects or artworks and audio descriptions. E.g. a “tactile gallery” where selected sculptures or archaeological fragments are replicated for touch. Addresses the barrier of large portions of collections being off-limits to touch or difficult to interpret.</w:t>
            </w:r>
          </w:p>
        </w:tc>
        <w:tc>
          <w:tcPr>
            <w:tcW w:w="1626" w:type="dxa"/>
            <w:hideMark/>
          </w:tcPr>
          <w:p w14:paraId="794B5B8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curators to pick what to replicate, artisans or 3D print experts to make the replicas, scripting and recording.</w:t>
            </w:r>
          </w:p>
        </w:tc>
        <w:tc>
          <w:tcPr>
            <w:tcW w:w="3363" w:type="dxa"/>
            <w:hideMark/>
          </w:tcPr>
          <w:p w14:paraId="5B02D8A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Prioritization is needed); quality control; need space to present these; potential concern about cost/benefit if the audience is niche – but in practice, these benefit multiple groups (e.g., kids, too).</w:t>
            </w:r>
          </w:p>
        </w:tc>
        <w:tc>
          <w:tcPr>
            <w:tcW w:w="2268" w:type="dxa"/>
            <w:hideMark/>
          </w:tcPr>
          <w:p w14:paraId="173E68B2"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each tactile replica can range from €200 to €5.000. Audio description recording might be €100–€300 per item if using professional narrators.</w:t>
            </w:r>
          </w:p>
        </w:tc>
        <w:tc>
          <w:tcPr>
            <w:tcW w:w="3402" w:type="dxa"/>
            <w:hideMark/>
          </w:tcPr>
          <w:p w14:paraId="504328F7"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direct effect on original artifacts. Adding tactile displays in galleries might require some rearrangement. Some heritage sites worry about “clutter,” but this is usually manageable.</w:t>
            </w:r>
          </w:p>
        </w:tc>
      </w:tr>
      <w:tr w:rsidR="00F431BE" w:rsidRPr="005933F6" w14:paraId="5CEDACBB"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531431F0" w14:textId="77777777" w:rsidR="00F431BE" w:rsidRPr="005933F6" w:rsidRDefault="00F431BE" w:rsidP="00A3701E">
            <w:pPr>
              <w:spacing w:after="160" w:line="278" w:lineRule="auto"/>
              <w:rPr>
                <w:sz w:val="20"/>
                <w:szCs w:val="22"/>
                <w:lang w:val="en-GB"/>
              </w:rPr>
            </w:pPr>
            <w:r w:rsidRPr="005933F6">
              <w:rPr>
                <w:sz w:val="20"/>
                <w:szCs w:val="22"/>
                <w:lang w:val="en-GB"/>
              </w:rPr>
              <w:lastRenderedPageBreak/>
              <w:t>Long-Term</w:t>
            </w:r>
          </w:p>
        </w:tc>
        <w:tc>
          <w:tcPr>
            <w:tcW w:w="4056" w:type="dxa"/>
            <w:hideMark/>
          </w:tcPr>
          <w:p w14:paraId="48CC9689"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Exhibit case modifications for accessibility</w:t>
            </w:r>
            <w:r w:rsidRPr="005933F6">
              <w:rPr>
                <w:sz w:val="20"/>
                <w:szCs w:val="22"/>
                <w:lang w:val="en-GB"/>
              </w:rPr>
              <w:t>: Redesign or retrofit display cases and exhibit furniture to be more accessible – e.g., lower some display cases or angle them for wheelchair viewing, use display vitrines that can be approached from a wheelchair front-on, ensure interactive buttons are at reachable heights, and texts are placed between 90cm and 120cm high. Addresses barriers where currently exhibit might be too high, too low, or behind glass that is hard to see through.</w:t>
            </w:r>
          </w:p>
        </w:tc>
        <w:tc>
          <w:tcPr>
            <w:tcW w:w="1626" w:type="dxa"/>
            <w:hideMark/>
          </w:tcPr>
          <w:p w14:paraId="6BB7D125"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involves custom fabrication of new cases or alterations of existing ones. Typically done gradually.</w:t>
            </w:r>
          </w:p>
        </w:tc>
        <w:tc>
          <w:tcPr>
            <w:tcW w:w="3363" w:type="dxa"/>
            <w:hideMark/>
          </w:tcPr>
          <w:p w14:paraId="05DF6E4F"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If the building is historic, sometimes the display cases themselves are historical (e.g., antique cabinets) – modifying those might not be allowed, so you might need entirely new cases that fit the room’s style. Also, ensuring security and climate control of cases remains top-notch after modifications. Logistics of swapping out cases means moving or protecting artifacts during the work.</w:t>
            </w:r>
          </w:p>
        </w:tc>
        <w:tc>
          <w:tcPr>
            <w:tcW w:w="2268" w:type="dxa"/>
            <w:hideMark/>
          </w:tcPr>
          <w:p w14:paraId="67977588"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 museum-grade cases are custom-built and expensive. One showcase can cost thousands. Budgeting maybe €5.000–€10.000 per case (varies widely). If only changing a countertop or adding a tilt mechanism to existing cases, it could be cheaper.</w:t>
            </w:r>
          </w:p>
        </w:tc>
        <w:tc>
          <w:tcPr>
            <w:tcW w:w="3402" w:type="dxa"/>
            <w:hideMark/>
          </w:tcPr>
          <w:p w14:paraId="3884E262"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Involves physical changes, so heritage authorities will consider the visual impact – but since exhibit cases are part of the museum display there’s flexibility if done in a style sympathetic to the space. Must ensure new cases don’t block historic features. Follow accessibility standards for mounting heights and sightlines.</w:t>
            </w:r>
          </w:p>
        </w:tc>
      </w:tr>
      <w:tr w:rsidR="00F431BE" w:rsidRPr="005933F6" w14:paraId="7BF63723" w14:textId="77777777" w:rsidTr="00A3701E">
        <w:tc>
          <w:tcPr>
            <w:cnfStyle w:val="001000000000" w:firstRow="0" w:lastRow="0" w:firstColumn="1" w:lastColumn="0" w:oddVBand="0" w:evenVBand="0" w:oddHBand="0" w:evenHBand="0" w:firstRowFirstColumn="0" w:firstRowLastColumn="0" w:lastRowFirstColumn="0" w:lastRowLastColumn="0"/>
            <w:tcW w:w="736" w:type="dxa"/>
            <w:hideMark/>
          </w:tcPr>
          <w:p w14:paraId="250867B0" w14:textId="77777777" w:rsidR="00F431BE" w:rsidRPr="005933F6" w:rsidRDefault="00F431BE" w:rsidP="00A3701E">
            <w:pPr>
              <w:spacing w:after="160" w:line="278" w:lineRule="auto"/>
              <w:rPr>
                <w:sz w:val="20"/>
                <w:szCs w:val="22"/>
                <w:lang w:val="en-GB"/>
              </w:rPr>
            </w:pPr>
            <w:r w:rsidRPr="005933F6">
              <w:rPr>
                <w:sz w:val="20"/>
                <w:szCs w:val="22"/>
                <w:lang w:val="en-GB"/>
              </w:rPr>
              <w:t>Long-Term</w:t>
            </w:r>
          </w:p>
        </w:tc>
        <w:tc>
          <w:tcPr>
            <w:tcW w:w="4056" w:type="dxa"/>
            <w:hideMark/>
          </w:tcPr>
          <w:p w14:paraId="4E7E980A"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b/>
                <w:bCs/>
                <w:sz w:val="20"/>
                <w:szCs w:val="22"/>
                <w:lang w:val="en-GB"/>
              </w:rPr>
              <w:t>Co-creation of exhibits with diverse audience input</w:t>
            </w:r>
            <w:r w:rsidRPr="005933F6">
              <w:rPr>
                <w:sz w:val="20"/>
                <w:szCs w:val="22"/>
                <w:lang w:val="en-GB"/>
              </w:rPr>
              <w:t>: Establish a practice where new exhibits or programs are developed with direct input from people with disabilities. For example, have an advisory group of museum visitors with various disabilities who test exhibit prototypes, or even invite neurodiverse individuals to contribute ideas for making content more engaging. This ensures creative solutions (sometimes not obvious to designers) are embedded from the start. Addresses barriers by proactively identifying and solving them during design, rather than reacting after opening.</w:t>
            </w:r>
          </w:p>
        </w:tc>
        <w:tc>
          <w:tcPr>
            <w:tcW w:w="1626" w:type="dxa"/>
            <w:hideMark/>
          </w:tcPr>
          <w:p w14:paraId="699B8DF3"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High (process-oriented) – it’s not a single physical project but an ongoing inclusive process. It requires time for meetings, testing sessions, and potentially adjusting designs based on feedback.</w:t>
            </w:r>
          </w:p>
        </w:tc>
        <w:tc>
          <w:tcPr>
            <w:tcW w:w="3363" w:type="dxa"/>
            <w:hideMark/>
          </w:tcPr>
          <w:p w14:paraId="0FA186B6"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Institutional buy-in is needed – some curators/designers might feel their expertise is questioned by involving “laypeople,” so you need to foster a collaborative mindset. Also, recruiting participants and compensating them (at least with stipends or travel reimbursement) is important – budget for inclusion. Scheduling can be challenging but worth the insight.</w:t>
            </w:r>
          </w:p>
        </w:tc>
        <w:tc>
          <w:tcPr>
            <w:tcW w:w="2268" w:type="dxa"/>
            <w:hideMark/>
          </w:tcPr>
          <w:p w14:paraId="42B9A904" w14:textId="77777777" w:rsidR="00F431BE" w:rsidRPr="005933F6" w:rsidRDefault="00F431BE" w:rsidP="00A3701E">
            <w:pPr>
              <w:spacing w:after="160" w:line="278" w:lineRule="auto"/>
              <w:jc w:val="left"/>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Moderate – the cost is mainly in staff hours and modest fees/honoraria for consultants or focus group attendees. For instance, you might have a disability advisory board that you budget, say, €1.000–€2.000 a year for. If specific adaptions are suggested, their costs would fall under other categories.</w:t>
            </w:r>
          </w:p>
        </w:tc>
        <w:tc>
          <w:tcPr>
            <w:tcW w:w="3402" w:type="dxa"/>
            <w:hideMark/>
          </w:tcPr>
          <w:p w14:paraId="6795E16E" w14:textId="77777777" w:rsidR="00F431BE" w:rsidRPr="005933F6" w:rsidRDefault="00F431BE" w:rsidP="00A3701E">
            <w:pPr>
              <w:spacing w:after="160" w:line="278" w:lineRule="auto"/>
              <w:cnfStyle w:val="000000000000" w:firstRow="0" w:lastRow="0" w:firstColumn="0" w:lastColumn="0" w:oddVBand="0" w:evenVBand="0" w:oddHBand="0" w:evenHBand="0" w:firstRowFirstColumn="0" w:firstRowLastColumn="0" w:lastRowFirstColumn="0" w:lastRowLastColumn="0"/>
              <w:rPr>
                <w:sz w:val="20"/>
                <w:szCs w:val="22"/>
                <w:lang w:val="en-GB"/>
              </w:rPr>
            </w:pPr>
            <w:r w:rsidRPr="005933F6">
              <w:rPr>
                <w:sz w:val="20"/>
                <w:szCs w:val="22"/>
                <w:lang w:val="en-GB"/>
              </w:rPr>
              <w:t>No regulatory barriers – this is about how you design content. It can help ensure compliance with accessibility laws since you’re involving the very people those laws aim to serve. It’s more of an organizational/cultural shift. From a preservation perspective, co-creation might actually yield solutions that better balance access and conservation (because disabled advisors can suggest, for example, “we don’t actually need to touch the original, a replica works,” thereby preserving originals).</w:t>
            </w:r>
          </w:p>
        </w:tc>
      </w:tr>
    </w:tbl>
    <w:p w14:paraId="65F17655" w14:textId="77777777" w:rsidR="00F431BE" w:rsidRPr="005933F6" w:rsidRDefault="00F431BE" w:rsidP="004C684D">
      <w:pPr>
        <w:rPr>
          <w:lang w:val="en-GB"/>
        </w:rPr>
      </w:pPr>
    </w:p>
    <w:sectPr w:rsidR="00F431BE" w:rsidRPr="005933F6" w:rsidSect="00F431BE">
      <w:headerReference w:type="first" r:id="rId11"/>
      <w:footerReference w:type="first" r:id="rId12"/>
      <w:pgSz w:w="16838" w:h="11906" w:orient="landscape"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3B1F1" w14:textId="77777777" w:rsidR="00E007FE" w:rsidRDefault="00E007FE" w:rsidP="00975AC0">
      <w:pPr>
        <w:spacing w:after="0" w:line="240" w:lineRule="auto"/>
      </w:pPr>
      <w:r>
        <w:separator/>
      </w:r>
    </w:p>
  </w:endnote>
  <w:endnote w:type="continuationSeparator" w:id="0">
    <w:p w14:paraId="23331F7D" w14:textId="77777777" w:rsidR="00E007FE" w:rsidRDefault="00E007FE" w:rsidP="00975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267657"/>
      <w:docPartObj>
        <w:docPartGallery w:val="Page Numbers (Bottom of Page)"/>
        <w:docPartUnique/>
      </w:docPartObj>
    </w:sdtPr>
    <w:sdtEndPr>
      <w:rPr>
        <w:noProof/>
      </w:rPr>
    </w:sdtEndPr>
    <w:sdtContent>
      <w:p w14:paraId="1232AB0C" w14:textId="742FFDDE" w:rsidR="00975AC0" w:rsidRDefault="00975A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2D3DC2" w14:textId="77777777" w:rsidR="00975AC0" w:rsidRDefault="00975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F447" w14:textId="1B1CE0F0" w:rsidR="00337251" w:rsidRDefault="00337251">
    <w:pPr>
      <w:pStyle w:val="Footer"/>
    </w:pPr>
    <w:r w:rsidRPr="004459DA">
      <w:t>Funded by the European Union. Views and opinions expressed are however those of the author only and do not necessarily reflect those of the European Union or the Foundation Tempus. Neither the European Union nor Foundation Tempus can be held responsible for them.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C4D0" w14:textId="2F591C68" w:rsidR="00F431BE" w:rsidRPr="00F431BE" w:rsidRDefault="00F431BE" w:rsidP="00F43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BD23B" w14:textId="77777777" w:rsidR="00E007FE" w:rsidRDefault="00E007FE" w:rsidP="00975AC0">
      <w:pPr>
        <w:spacing w:after="0" w:line="240" w:lineRule="auto"/>
      </w:pPr>
      <w:r>
        <w:separator/>
      </w:r>
    </w:p>
  </w:footnote>
  <w:footnote w:type="continuationSeparator" w:id="0">
    <w:p w14:paraId="43A3BF65" w14:textId="77777777" w:rsidR="00E007FE" w:rsidRDefault="00E007FE" w:rsidP="00975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5728" w14:textId="6E702AC5" w:rsidR="00337251" w:rsidRDefault="00337251">
    <w:pPr>
      <w:pStyle w:val="Header"/>
    </w:pPr>
    <w:r>
      <w:rPr>
        <w:noProof/>
      </w:rPr>
      <w:drawing>
        <wp:inline distT="0" distB="0" distL="0" distR="0" wp14:anchorId="6025C5D2" wp14:editId="2422E5AD">
          <wp:extent cx="2238375" cy="682521"/>
          <wp:effectExtent l="0" t="0" r="0" b="3810"/>
          <wp:docPr id="7637815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81584" name=""/>
                  <pic:cNvPicPr/>
                </pic:nvPicPr>
                <pic:blipFill>
                  <a:blip r:embed="rId1">
                    <a:extLst>
                      <a:ext uri="{96DAC541-7B7A-43D3-8B79-37D633B846F1}">
                        <asvg:svgBlip xmlns:asvg="http://schemas.microsoft.com/office/drawing/2016/SVG/main" r:embed="rId2"/>
                      </a:ext>
                    </a:extLst>
                  </a:blip>
                  <a:stretch>
                    <a:fillRect/>
                  </a:stretch>
                </pic:blipFill>
                <pic:spPr>
                  <a:xfrm>
                    <a:off x="0" y="0"/>
                    <a:ext cx="2248983" cy="68575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7FC8" w14:textId="397AA840" w:rsidR="00F431BE" w:rsidRDefault="00F43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BB9"/>
    <w:multiLevelType w:val="hybridMultilevel"/>
    <w:tmpl w:val="CDFE2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239F2"/>
    <w:multiLevelType w:val="multilevel"/>
    <w:tmpl w:val="53B0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C3F17"/>
    <w:multiLevelType w:val="multilevel"/>
    <w:tmpl w:val="2C76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54F6D"/>
    <w:multiLevelType w:val="hybridMultilevel"/>
    <w:tmpl w:val="BD18F2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EA4912"/>
    <w:multiLevelType w:val="hybridMultilevel"/>
    <w:tmpl w:val="08F28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EB79BC"/>
    <w:multiLevelType w:val="multilevel"/>
    <w:tmpl w:val="C7DC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9960C5"/>
    <w:multiLevelType w:val="hybridMultilevel"/>
    <w:tmpl w:val="86304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DC0095"/>
    <w:multiLevelType w:val="hybridMultilevel"/>
    <w:tmpl w:val="03EA8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F5125F"/>
    <w:multiLevelType w:val="multilevel"/>
    <w:tmpl w:val="D620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6022D0"/>
    <w:multiLevelType w:val="hybridMultilevel"/>
    <w:tmpl w:val="7102B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0A3A14"/>
    <w:multiLevelType w:val="multilevel"/>
    <w:tmpl w:val="7E6A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564F72"/>
    <w:multiLevelType w:val="hybridMultilevel"/>
    <w:tmpl w:val="1EB20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A20348"/>
    <w:multiLevelType w:val="hybridMultilevel"/>
    <w:tmpl w:val="05002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1B1929"/>
    <w:multiLevelType w:val="hybridMultilevel"/>
    <w:tmpl w:val="F6BEA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206A4A"/>
    <w:multiLevelType w:val="hybridMultilevel"/>
    <w:tmpl w:val="D6E83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037BEE"/>
    <w:multiLevelType w:val="hybridMultilevel"/>
    <w:tmpl w:val="71A66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150C49"/>
    <w:multiLevelType w:val="hybridMultilevel"/>
    <w:tmpl w:val="1B2AA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FF5768"/>
    <w:multiLevelType w:val="hybridMultilevel"/>
    <w:tmpl w:val="102CC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9F5283"/>
    <w:multiLevelType w:val="hybridMultilevel"/>
    <w:tmpl w:val="79E4A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215074"/>
    <w:multiLevelType w:val="hybridMultilevel"/>
    <w:tmpl w:val="725A5F10"/>
    <w:lvl w:ilvl="0" w:tplc="6E1A5998">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E543926"/>
    <w:multiLevelType w:val="hybridMultilevel"/>
    <w:tmpl w:val="5450F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313E75"/>
    <w:multiLevelType w:val="hybridMultilevel"/>
    <w:tmpl w:val="7C5A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0627B4A"/>
    <w:multiLevelType w:val="hybridMultilevel"/>
    <w:tmpl w:val="2E4E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276D0B"/>
    <w:multiLevelType w:val="hybridMultilevel"/>
    <w:tmpl w:val="18106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76226F7"/>
    <w:multiLevelType w:val="multilevel"/>
    <w:tmpl w:val="2370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876A5A"/>
    <w:multiLevelType w:val="hybridMultilevel"/>
    <w:tmpl w:val="BFACD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AF06CC5"/>
    <w:multiLevelType w:val="hybridMultilevel"/>
    <w:tmpl w:val="FD3C8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4C2641"/>
    <w:multiLevelType w:val="hybridMultilevel"/>
    <w:tmpl w:val="A30EB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BB3C49"/>
    <w:multiLevelType w:val="hybridMultilevel"/>
    <w:tmpl w:val="E63C3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47A698E"/>
    <w:multiLevelType w:val="multilevel"/>
    <w:tmpl w:val="7CCAD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57E5B34"/>
    <w:multiLevelType w:val="hybridMultilevel"/>
    <w:tmpl w:val="4DD2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617424"/>
    <w:multiLevelType w:val="hybridMultilevel"/>
    <w:tmpl w:val="98883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066A23"/>
    <w:multiLevelType w:val="multilevel"/>
    <w:tmpl w:val="1A80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0F1A08"/>
    <w:multiLevelType w:val="multilevel"/>
    <w:tmpl w:val="C666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7F6A40"/>
    <w:multiLevelType w:val="hybridMultilevel"/>
    <w:tmpl w:val="F454F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DB1747E"/>
    <w:multiLevelType w:val="hybridMultilevel"/>
    <w:tmpl w:val="3E244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1300C58"/>
    <w:multiLevelType w:val="hybridMultilevel"/>
    <w:tmpl w:val="9D925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17A33A3"/>
    <w:multiLevelType w:val="hybridMultilevel"/>
    <w:tmpl w:val="6F3A8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43556C0"/>
    <w:multiLevelType w:val="hybridMultilevel"/>
    <w:tmpl w:val="7C00B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4DB5319"/>
    <w:multiLevelType w:val="hybridMultilevel"/>
    <w:tmpl w:val="3FF4E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75D7747"/>
    <w:multiLevelType w:val="hybridMultilevel"/>
    <w:tmpl w:val="421A6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70302A"/>
    <w:multiLevelType w:val="hybridMultilevel"/>
    <w:tmpl w:val="F1001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4519C7"/>
    <w:multiLevelType w:val="hybridMultilevel"/>
    <w:tmpl w:val="1842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9853386"/>
    <w:multiLevelType w:val="hybridMultilevel"/>
    <w:tmpl w:val="AC444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B693C6E"/>
    <w:multiLevelType w:val="hybridMultilevel"/>
    <w:tmpl w:val="F45AC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DDE7F76"/>
    <w:multiLevelType w:val="hybridMultilevel"/>
    <w:tmpl w:val="2BACE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17A06D7"/>
    <w:multiLevelType w:val="multilevel"/>
    <w:tmpl w:val="1E0E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18E771D"/>
    <w:multiLevelType w:val="hybridMultilevel"/>
    <w:tmpl w:val="8884A0E4"/>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2E148E2"/>
    <w:multiLevelType w:val="hybridMultilevel"/>
    <w:tmpl w:val="B308A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2FD75C0"/>
    <w:multiLevelType w:val="hybridMultilevel"/>
    <w:tmpl w:val="2F540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5BB318E"/>
    <w:multiLevelType w:val="multilevel"/>
    <w:tmpl w:val="B6EE48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746683A"/>
    <w:multiLevelType w:val="hybridMultilevel"/>
    <w:tmpl w:val="AB627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8DE7DB7"/>
    <w:multiLevelType w:val="hybridMultilevel"/>
    <w:tmpl w:val="2FD0C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A82083A"/>
    <w:multiLevelType w:val="hybridMultilevel"/>
    <w:tmpl w:val="81E47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C015D6E"/>
    <w:multiLevelType w:val="hybridMultilevel"/>
    <w:tmpl w:val="1C983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C0B6EEF"/>
    <w:multiLevelType w:val="hybridMultilevel"/>
    <w:tmpl w:val="2D66F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D636CF0"/>
    <w:multiLevelType w:val="hybridMultilevel"/>
    <w:tmpl w:val="E67E35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8E54E9"/>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DAC6CAF"/>
    <w:multiLevelType w:val="hybridMultilevel"/>
    <w:tmpl w:val="8222B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DE0176E"/>
    <w:multiLevelType w:val="hybridMultilevel"/>
    <w:tmpl w:val="05EC8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0776F22"/>
    <w:multiLevelType w:val="hybridMultilevel"/>
    <w:tmpl w:val="7F3ED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07F2068"/>
    <w:multiLevelType w:val="hybridMultilevel"/>
    <w:tmpl w:val="CC7C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0E5063B"/>
    <w:multiLevelType w:val="hybridMultilevel"/>
    <w:tmpl w:val="4E1E6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4CD4D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655715A9"/>
    <w:multiLevelType w:val="hybridMultilevel"/>
    <w:tmpl w:val="62584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5D318B3"/>
    <w:multiLevelType w:val="hybridMultilevel"/>
    <w:tmpl w:val="8578E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7DC3D05"/>
    <w:multiLevelType w:val="hybridMultilevel"/>
    <w:tmpl w:val="400EA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90D6054"/>
    <w:multiLevelType w:val="hybridMultilevel"/>
    <w:tmpl w:val="816EE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A8B24AD"/>
    <w:multiLevelType w:val="hybridMultilevel"/>
    <w:tmpl w:val="7562A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D30236F"/>
    <w:multiLevelType w:val="hybridMultilevel"/>
    <w:tmpl w:val="4918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DED6D46"/>
    <w:multiLevelType w:val="hybridMultilevel"/>
    <w:tmpl w:val="D6BCA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DF068FB"/>
    <w:multiLevelType w:val="hybridMultilevel"/>
    <w:tmpl w:val="7CB4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E24341D"/>
    <w:multiLevelType w:val="hybridMultilevel"/>
    <w:tmpl w:val="F7144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11B69C9"/>
    <w:multiLevelType w:val="hybridMultilevel"/>
    <w:tmpl w:val="052A8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38573CC"/>
    <w:multiLevelType w:val="hybridMultilevel"/>
    <w:tmpl w:val="5E62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445401E"/>
    <w:multiLevelType w:val="hybridMultilevel"/>
    <w:tmpl w:val="26A4D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50920F4"/>
    <w:multiLevelType w:val="hybridMultilevel"/>
    <w:tmpl w:val="E5E65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69D23EA"/>
    <w:multiLevelType w:val="hybridMultilevel"/>
    <w:tmpl w:val="DFA66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8C866A3"/>
    <w:multiLevelType w:val="hybridMultilevel"/>
    <w:tmpl w:val="6B3E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918733B"/>
    <w:multiLevelType w:val="hybridMultilevel"/>
    <w:tmpl w:val="E50E0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9A92267"/>
    <w:multiLevelType w:val="hybridMultilevel"/>
    <w:tmpl w:val="EFB49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E997778"/>
    <w:multiLevelType w:val="hybridMultilevel"/>
    <w:tmpl w:val="338AA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9729587">
    <w:abstractNumId w:val="23"/>
  </w:num>
  <w:num w:numId="2" w16cid:durableId="549456720">
    <w:abstractNumId w:val="35"/>
  </w:num>
  <w:num w:numId="3" w16cid:durableId="2038070684">
    <w:abstractNumId w:val="11"/>
  </w:num>
  <w:num w:numId="4" w16cid:durableId="1864050443">
    <w:abstractNumId w:val="7"/>
  </w:num>
  <w:num w:numId="5" w16cid:durableId="1126196115">
    <w:abstractNumId w:val="43"/>
  </w:num>
  <w:num w:numId="6" w16cid:durableId="953563930">
    <w:abstractNumId w:val="19"/>
  </w:num>
  <w:num w:numId="7" w16cid:durableId="190147780">
    <w:abstractNumId w:val="80"/>
  </w:num>
  <w:num w:numId="8" w16cid:durableId="1692681740">
    <w:abstractNumId w:val="68"/>
  </w:num>
  <w:num w:numId="9" w16cid:durableId="445001945">
    <w:abstractNumId w:val="25"/>
  </w:num>
  <w:num w:numId="10" w16cid:durableId="20596203">
    <w:abstractNumId w:val="18"/>
  </w:num>
  <w:num w:numId="11" w16cid:durableId="1159006938">
    <w:abstractNumId w:val="81"/>
  </w:num>
  <w:num w:numId="12" w16cid:durableId="1363823002">
    <w:abstractNumId w:val="65"/>
  </w:num>
  <w:num w:numId="13" w16cid:durableId="987318076">
    <w:abstractNumId w:val="6"/>
  </w:num>
  <w:num w:numId="14" w16cid:durableId="715392476">
    <w:abstractNumId w:val="75"/>
  </w:num>
  <w:num w:numId="15" w16cid:durableId="1421828086">
    <w:abstractNumId w:val="27"/>
  </w:num>
  <w:num w:numId="16" w16cid:durableId="2051806821">
    <w:abstractNumId w:val="40"/>
  </w:num>
  <w:num w:numId="17" w16cid:durableId="412169000">
    <w:abstractNumId w:val="36"/>
  </w:num>
  <w:num w:numId="18" w16cid:durableId="1920140258">
    <w:abstractNumId w:val="13"/>
  </w:num>
  <w:num w:numId="19" w16cid:durableId="1425494124">
    <w:abstractNumId w:val="77"/>
  </w:num>
  <w:num w:numId="20" w16cid:durableId="71661738">
    <w:abstractNumId w:val="64"/>
  </w:num>
  <w:num w:numId="21" w16cid:durableId="1790706105">
    <w:abstractNumId w:val="44"/>
  </w:num>
  <w:num w:numId="22" w16cid:durableId="1803763825">
    <w:abstractNumId w:val="78"/>
  </w:num>
  <w:num w:numId="23" w16cid:durableId="1796487630">
    <w:abstractNumId w:val="54"/>
  </w:num>
  <w:num w:numId="24" w16cid:durableId="1898004733">
    <w:abstractNumId w:val="66"/>
  </w:num>
  <w:num w:numId="25" w16cid:durableId="1500191697">
    <w:abstractNumId w:val="49"/>
  </w:num>
  <w:num w:numId="26" w16cid:durableId="134110665">
    <w:abstractNumId w:val="31"/>
  </w:num>
  <w:num w:numId="27" w16cid:durableId="995693687">
    <w:abstractNumId w:val="60"/>
  </w:num>
  <w:num w:numId="28" w16cid:durableId="426845900">
    <w:abstractNumId w:val="16"/>
  </w:num>
  <w:num w:numId="29" w16cid:durableId="718437888">
    <w:abstractNumId w:val="21"/>
  </w:num>
  <w:num w:numId="30" w16cid:durableId="1300955534">
    <w:abstractNumId w:val="38"/>
  </w:num>
  <w:num w:numId="31" w16cid:durableId="221216144">
    <w:abstractNumId w:val="48"/>
  </w:num>
  <w:num w:numId="32" w16cid:durableId="1934781464">
    <w:abstractNumId w:val="17"/>
  </w:num>
  <w:num w:numId="33" w16cid:durableId="1127161079">
    <w:abstractNumId w:val="79"/>
  </w:num>
  <w:num w:numId="34" w16cid:durableId="96609066">
    <w:abstractNumId w:val="26"/>
  </w:num>
  <w:num w:numId="35" w16cid:durableId="1213421615">
    <w:abstractNumId w:val="34"/>
  </w:num>
  <w:num w:numId="36" w16cid:durableId="2042239177">
    <w:abstractNumId w:val="12"/>
  </w:num>
  <w:num w:numId="37" w16cid:durableId="1427993980">
    <w:abstractNumId w:val="53"/>
  </w:num>
  <w:num w:numId="38" w16cid:durableId="407458636">
    <w:abstractNumId w:val="42"/>
  </w:num>
  <w:num w:numId="39" w16cid:durableId="717896548">
    <w:abstractNumId w:val="22"/>
  </w:num>
  <w:num w:numId="40" w16cid:durableId="1622107181">
    <w:abstractNumId w:val="52"/>
  </w:num>
  <w:num w:numId="41" w16cid:durableId="347486848">
    <w:abstractNumId w:val="72"/>
  </w:num>
  <w:num w:numId="42" w16cid:durableId="218169351">
    <w:abstractNumId w:val="45"/>
  </w:num>
  <w:num w:numId="43" w16cid:durableId="509417485">
    <w:abstractNumId w:val="59"/>
  </w:num>
  <w:num w:numId="44" w16cid:durableId="754740716">
    <w:abstractNumId w:val="39"/>
  </w:num>
  <w:num w:numId="45" w16cid:durableId="1058045062">
    <w:abstractNumId w:val="4"/>
  </w:num>
  <w:num w:numId="46" w16cid:durableId="617956328">
    <w:abstractNumId w:val="58"/>
  </w:num>
  <w:num w:numId="47" w16cid:durableId="1546527214">
    <w:abstractNumId w:val="61"/>
  </w:num>
  <w:num w:numId="48" w16cid:durableId="1029914829">
    <w:abstractNumId w:val="41"/>
  </w:num>
  <w:num w:numId="49" w16cid:durableId="952591977">
    <w:abstractNumId w:val="14"/>
  </w:num>
  <w:num w:numId="50" w16cid:durableId="1743062752">
    <w:abstractNumId w:val="0"/>
  </w:num>
  <w:num w:numId="51" w16cid:durableId="1139884911">
    <w:abstractNumId w:val="30"/>
  </w:num>
  <w:num w:numId="52" w16cid:durableId="667516909">
    <w:abstractNumId w:val="74"/>
  </w:num>
  <w:num w:numId="53" w16cid:durableId="536888603">
    <w:abstractNumId w:val="67"/>
  </w:num>
  <w:num w:numId="54" w16cid:durableId="1186603255">
    <w:abstractNumId w:val="71"/>
  </w:num>
  <w:num w:numId="55" w16cid:durableId="2100326564">
    <w:abstractNumId w:val="15"/>
  </w:num>
  <w:num w:numId="56" w16cid:durableId="1116099768">
    <w:abstractNumId w:val="56"/>
  </w:num>
  <w:num w:numId="57" w16cid:durableId="46145355">
    <w:abstractNumId w:val="28"/>
  </w:num>
  <w:num w:numId="58" w16cid:durableId="2041197307">
    <w:abstractNumId w:val="50"/>
  </w:num>
  <w:num w:numId="59" w16cid:durableId="1103182720">
    <w:abstractNumId w:val="63"/>
  </w:num>
  <w:num w:numId="60" w16cid:durableId="1922256257">
    <w:abstractNumId w:val="3"/>
  </w:num>
  <w:num w:numId="61" w16cid:durableId="1875994879">
    <w:abstractNumId w:val="8"/>
  </w:num>
  <w:num w:numId="62" w16cid:durableId="1485439127">
    <w:abstractNumId w:val="29"/>
  </w:num>
  <w:num w:numId="63" w16cid:durableId="1622686328">
    <w:abstractNumId w:val="55"/>
  </w:num>
  <w:num w:numId="64" w16cid:durableId="730928640">
    <w:abstractNumId w:val="5"/>
  </w:num>
  <w:num w:numId="65" w16cid:durableId="1787920318">
    <w:abstractNumId w:val="73"/>
  </w:num>
  <w:num w:numId="66" w16cid:durableId="1918896796">
    <w:abstractNumId w:val="47"/>
  </w:num>
  <w:num w:numId="67" w16cid:durableId="1390574769">
    <w:abstractNumId w:val="1"/>
  </w:num>
  <w:num w:numId="68" w16cid:durableId="2048404135">
    <w:abstractNumId w:val="32"/>
  </w:num>
  <w:num w:numId="69" w16cid:durableId="1256400133">
    <w:abstractNumId w:val="2"/>
  </w:num>
  <w:num w:numId="70" w16cid:durableId="1577590714">
    <w:abstractNumId w:val="69"/>
  </w:num>
  <w:num w:numId="71" w16cid:durableId="1309702291">
    <w:abstractNumId w:val="76"/>
  </w:num>
  <w:num w:numId="72" w16cid:durableId="286275521">
    <w:abstractNumId w:val="20"/>
  </w:num>
  <w:num w:numId="73" w16cid:durableId="1387994590">
    <w:abstractNumId w:val="9"/>
  </w:num>
  <w:num w:numId="74" w16cid:durableId="393048456">
    <w:abstractNumId w:val="33"/>
  </w:num>
  <w:num w:numId="75" w16cid:durableId="163667829">
    <w:abstractNumId w:val="46"/>
  </w:num>
  <w:num w:numId="76" w16cid:durableId="974020145">
    <w:abstractNumId w:val="51"/>
  </w:num>
  <w:num w:numId="77" w16cid:durableId="1662810611">
    <w:abstractNumId w:val="24"/>
  </w:num>
  <w:num w:numId="78" w16cid:durableId="1092628087">
    <w:abstractNumId w:val="37"/>
  </w:num>
  <w:num w:numId="79" w16cid:durableId="76825813">
    <w:abstractNumId w:val="10"/>
  </w:num>
  <w:num w:numId="80" w16cid:durableId="741607">
    <w:abstractNumId w:val="70"/>
  </w:num>
  <w:num w:numId="81" w16cid:durableId="763116219">
    <w:abstractNumId w:val="57"/>
  </w:num>
  <w:num w:numId="82" w16cid:durableId="1518349316">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C0"/>
    <w:rsid w:val="00002978"/>
    <w:rsid w:val="00006B46"/>
    <w:rsid w:val="00012718"/>
    <w:rsid w:val="00014CEA"/>
    <w:rsid w:val="00020865"/>
    <w:rsid w:val="000323FB"/>
    <w:rsid w:val="00033810"/>
    <w:rsid w:val="00043224"/>
    <w:rsid w:val="00047DC4"/>
    <w:rsid w:val="00054ECB"/>
    <w:rsid w:val="0005534F"/>
    <w:rsid w:val="00057C0F"/>
    <w:rsid w:val="00064783"/>
    <w:rsid w:val="00065683"/>
    <w:rsid w:val="0007053D"/>
    <w:rsid w:val="00072798"/>
    <w:rsid w:val="00082E2E"/>
    <w:rsid w:val="0008675C"/>
    <w:rsid w:val="000908AE"/>
    <w:rsid w:val="00091397"/>
    <w:rsid w:val="000A603A"/>
    <w:rsid w:val="000A61FB"/>
    <w:rsid w:val="000A6855"/>
    <w:rsid w:val="000B338A"/>
    <w:rsid w:val="000B64BB"/>
    <w:rsid w:val="000C0F68"/>
    <w:rsid w:val="000C22FC"/>
    <w:rsid w:val="000C5D25"/>
    <w:rsid w:val="000C79D2"/>
    <w:rsid w:val="000D3CCD"/>
    <w:rsid w:val="000D3EFA"/>
    <w:rsid w:val="000D5FBE"/>
    <w:rsid w:val="000D7623"/>
    <w:rsid w:val="000E3AB7"/>
    <w:rsid w:val="000E5A0C"/>
    <w:rsid w:val="000E6485"/>
    <w:rsid w:val="000F3CFD"/>
    <w:rsid w:val="000F7F1D"/>
    <w:rsid w:val="0010566B"/>
    <w:rsid w:val="001108F6"/>
    <w:rsid w:val="001121F3"/>
    <w:rsid w:val="00112A92"/>
    <w:rsid w:val="00113F80"/>
    <w:rsid w:val="0011421C"/>
    <w:rsid w:val="00115D3B"/>
    <w:rsid w:val="00130A40"/>
    <w:rsid w:val="00131CE1"/>
    <w:rsid w:val="00132BD6"/>
    <w:rsid w:val="00141A6E"/>
    <w:rsid w:val="001441C5"/>
    <w:rsid w:val="0014737C"/>
    <w:rsid w:val="00150569"/>
    <w:rsid w:val="001511BE"/>
    <w:rsid w:val="0015152C"/>
    <w:rsid w:val="00152E0D"/>
    <w:rsid w:val="001603AE"/>
    <w:rsid w:val="001621FB"/>
    <w:rsid w:val="001633C0"/>
    <w:rsid w:val="00163ACB"/>
    <w:rsid w:val="00165DD8"/>
    <w:rsid w:val="00180CF4"/>
    <w:rsid w:val="001A0845"/>
    <w:rsid w:val="001A24AE"/>
    <w:rsid w:val="001B1DCF"/>
    <w:rsid w:val="001B25CA"/>
    <w:rsid w:val="001B660D"/>
    <w:rsid w:val="001C228C"/>
    <w:rsid w:val="001C2B62"/>
    <w:rsid w:val="001C328B"/>
    <w:rsid w:val="001C643D"/>
    <w:rsid w:val="001C7C20"/>
    <w:rsid w:val="001D1E5E"/>
    <w:rsid w:val="001D5164"/>
    <w:rsid w:val="001D756E"/>
    <w:rsid w:val="001D7A85"/>
    <w:rsid w:val="001E17AC"/>
    <w:rsid w:val="001E1AAD"/>
    <w:rsid w:val="001E1D83"/>
    <w:rsid w:val="001E5A9F"/>
    <w:rsid w:val="001E6E33"/>
    <w:rsid w:val="001F50F0"/>
    <w:rsid w:val="0020272F"/>
    <w:rsid w:val="00202BF8"/>
    <w:rsid w:val="0020699D"/>
    <w:rsid w:val="002076AB"/>
    <w:rsid w:val="00211524"/>
    <w:rsid w:val="00212656"/>
    <w:rsid w:val="00221C74"/>
    <w:rsid w:val="002229A5"/>
    <w:rsid w:val="00223603"/>
    <w:rsid w:val="00231339"/>
    <w:rsid w:val="00231568"/>
    <w:rsid w:val="002336B6"/>
    <w:rsid w:val="002352C0"/>
    <w:rsid w:val="00235B4E"/>
    <w:rsid w:val="00236A1D"/>
    <w:rsid w:val="00250148"/>
    <w:rsid w:val="002514A1"/>
    <w:rsid w:val="002542FA"/>
    <w:rsid w:val="00255F26"/>
    <w:rsid w:val="00257156"/>
    <w:rsid w:val="00260ABF"/>
    <w:rsid w:val="00262FA0"/>
    <w:rsid w:val="00265ED9"/>
    <w:rsid w:val="00267119"/>
    <w:rsid w:val="00267B94"/>
    <w:rsid w:val="002765BF"/>
    <w:rsid w:val="00276EF4"/>
    <w:rsid w:val="00286D6A"/>
    <w:rsid w:val="00287D2F"/>
    <w:rsid w:val="0029244E"/>
    <w:rsid w:val="00293076"/>
    <w:rsid w:val="002A0D66"/>
    <w:rsid w:val="002A39C4"/>
    <w:rsid w:val="002A67F1"/>
    <w:rsid w:val="002B0D36"/>
    <w:rsid w:val="002B324B"/>
    <w:rsid w:val="002B42E2"/>
    <w:rsid w:val="002B4727"/>
    <w:rsid w:val="002C5043"/>
    <w:rsid w:val="002D422C"/>
    <w:rsid w:val="002D4650"/>
    <w:rsid w:val="002D51E1"/>
    <w:rsid w:val="002D725F"/>
    <w:rsid w:val="002F2BD7"/>
    <w:rsid w:val="002F6CC8"/>
    <w:rsid w:val="00300533"/>
    <w:rsid w:val="00300A33"/>
    <w:rsid w:val="0030673B"/>
    <w:rsid w:val="00306FAD"/>
    <w:rsid w:val="00313787"/>
    <w:rsid w:val="00313CEF"/>
    <w:rsid w:val="0031658F"/>
    <w:rsid w:val="003168EF"/>
    <w:rsid w:val="00316963"/>
    <w:rsid w:val="00320684"/>
    <w:rsid w:val="0032167E"/>
    <w:rsid w:val="00335658"/>
    <w:rsid w:val="00337117"/>
    <w:rsid w:val="00337251"/>
    <w:rsid w:val="00341714"/>
    <w:rsid w:val="00350353"/>
    <w:rsid w:val="00351DD9"/>
    <w:rsid w:val="003548F4"/>
    <w:rsid w:val="0035594B"/>
    <w:rsid w:val="00363A60"/>
    <w:rsid w:val="00372F96"/>
    <w:rsid w:val="003753C3"/>
    <w:rsid w:val="00382461"/>
    <w:rsid w:val="00391961"/>
    <w:rsid w:val="00391F4E"/>
    <w:rsid w:val="003935A7"/>
    <w:rsid w:val="00393F52"/>
    <w:rsid w:val="003947A1"/>
    <w:rsid w:val="00396149"/>
    <w:rsid w:val="003A0416"/>
    <w:rsid w:val="003A6CEF"/>
    <w:rsid w:val="003B2A1B"/>
    <w:rsid w:val="003C0E93"/>
    <w:rsid w:val="003C4B90"/>
    <w:rsid w:val="003D0F30"/>
    <w:rsid w:val="003D6C35"/>
    <w:rsid w:val="003D7874"/>
    <w:rsid w:val="003D7AEA"/>
    <w:rsid w:val="003E0582"/>
    <w:rsid w:val="003F1CE9"/>
    <w:rsid w:val="003F68AB"/>
    <w:rsid w:val="004002D3"/>
    <w:rsid w:val="00404A13"/>
    <w:rsid w:val="00405790"/>
    <w:rsid w:val="00411771"/>
    <w:rsid w:val="00415D39"/>
    <w:rsid w:val="004176B5"/>
    <w:rsid w:val="00422D9F"/>
    <w:rsid w:val="00433FDC"/>
    <w:rsid w:val="00441519"/>
    <w:rsid w:val="00443FBC"/>
    <w:rsid w:val="00447559"/>
    <w:rsid w:val="00461750"/>
    <w:rsid w:val="004629AB"/>
    <w:rsid w:val="00465773"/>
    <w:rsid w:val="00467070"/>
    <w:rsid w:val="004722AD"/>
    <w:rsid w:val="0047464E"/>
    <w:rsid w:val="004973C4"/>
    <w:rsid w:val="0049766C"/>
    <w:rsid w:val="004A1B5C"/>
    <w:rsid w:val="004A2668"/>
    <w:rsid w:val="004B1E77"/>
    <w:rsid w:val="004B4F46"/>
    <w:rsid w:val="004B7C0A"/>
    <w:rsid w:val="004C684D"/>
    <w:rsid w:val="004D2FDC"/>
    <w:rsid w:val="004D3E6E"/>
    <w:rsid w:val="004D76AF"/>
    <w:rsid w:val="004E2B6D"/>
    <w:rsid w:val="004E5555"/>
    <w:rsid w:val="004F34B7"/>
    <w:rsid w:val="0050089E"/>
    <w:rsid w:val="00502498"/>
    <w:rsid w:val="00503049"/>
    <w:rsid w:val="005050C6"/>
    <w:rsid w:val="0050773F"/>
    <w:rsid w:val="00507A65"/>
    <w:rsid w:val="005104E5"/>
    <w:rsid w:val="005107E5"/>
    <w:rsid w:val="00512F62"/>
    <w:rsid w:val="00517B19"/>
    <w:rsid w:val="00521C00"/>
    <w:rsid w:val="00524893"/>
    <w:rsid w:val="00525870"/>
    <w:rsid w:val="005317DD"/>
    <w:rsid w:val="00540BCA"/>
    <w:rsid w:val="00540FF6"/>
    <w:rsid w:val="005602E7"/>
    <w:rsid w:val="005634FE"/>
    <w:rsid w:val="00564232"/>
    <w:rsid w:val="00570457"/>
    <w:rsid w:val="0057270E"/>
    <w:rsid w:val="00573630"/>
    <w:rsid w:val="00574A42"/>
    <w:rsid w:val="00576923"/>
    <w:rsid w:val="00577F9A"/>
    <w:rsid w:val="00582133"/>
    <w:rsid w:val="00587440"/>
    <w:rsid w:val="005933F6"/>
    <w:rsid w:val="00594AAA"/>
    <w:rsid w:val="00594FB8"/>
    <w:rsid w:val="00597D4C"/>
    <w:rsid w:val="005A2334"/>
    <w:rsid w:val="005A3CEA"/>
    <w:rsid w:val="005A44C9"/>
    <w:rsid w:val="005A576B"/>
    <w:rsid w:val="005B1401"/>
    <w:rsid w:val="005C06ED"/>
    <w:rsid w:val="005C08EF"/>
    <w:rsid w:val="005C1E48"/>
    <w:rsid w:val="005C3B66"/>
    <w:rsid w:val="005C5B3C"/>
    <w:rsid w:val="005C676F"/>
    <w:rsid w:val="005D0F95"/>
    <w:rsid w:val="005D1196"/>
    <w:rsid w:val="005D29E7"/>
    <w:rsid w:val="005D70CD"/>
    <w:rsid w:val="005D7BB0"/>
    <w:rsid w:val="005E06FC"/>
    <w:rsid w:val="005E261E"/>
    <w:rsid w:val="005E7F5E"/>
    <w:rsid w:val="005F2258"/>
    <w:rsid w:val="005F7529"/>
    <w:rsid w:val="00600350"/>
    <w:rsid w:val="00606CF1"/>
    <w:rsid w:val="00612798"/>
    <w:rsid w:val="00612934"/>
    <w:rsid w:val="00612984"/>
    <w:rsid w:val="006130AE"/>
    <w:rsid w:val="00617A36"/>
    <w:rsid w:val="00621F5F"/>
    <w:rsid w:val="00625798"/>
    <w:rsid w:val="0062602E"/>
    <w:rsid w:val="0062797F"/>
    <w:rsid w:val="00633C1F"/>
    <w:rsid w:val="00635F3F"/>
    <w:rsid w:val="00636E05"/>
    <w:rsid w:val="00637A66"/>
    <w:rsid w:val="0064108D"/>
    <w:rsid w:val="00642943"/>
    <w:rsid w:val="0064716A"/>
    <w:rsid w:val="00652E51"/>
    <w:rsid w:val="00663727"/>
    <w:rsid w:val="00664900"/>
    <w:rsid w:val="00665FA9"/>
    <w:rsid w:val="00667176"/>
    <w:rsid w:val="00667AAD"/>
    <w:rsid w:val="00675074"/>
    <w:rsid w:val="0068066D"/>
    <w:rsid w:val="00681993"/>
    <w:rsid w:val="00681BC2"/>
    <w:rsid w:val="00692D3C"/>
    <w:rsid w:val="006A0186"/>
    <w:rsid w:val="006A795C"/>
    <w:rsid w:val="006B5CE8"/>
    <w:rsid w:val="006B6A87"/>
    <w:rsid w:val="006B755C"/>
    <w:rsid w:val="006C52E1"/>
    <w:rsid w:val="006C61DA"/>
    <w:rsid w:val="006C7513"/>
    <w:rsid w:val="006D005F"/>
    <w:rsid w:val="006D140C"/>
    <w:rsid w:val="006D4E00"/>
    <w:rsid w:val="006D4F3A"/>
    <w:rsid w:val="006D6CE6"/>
    <w:rsid w:val="006E48B5"/>
    <w:rsid w:val="006E4996"/>
    <w:rsid w:val="006F0A8F"/>
    <w:rsid w:val="006F0F93"/>
    <w:rsid w:val="006F29A7"/>
    <w:rsid w:val="006F424B"/>
    <w:rsid w:val="006F6B2D"/>
    <w:rsid w:val="006F7525"/>
    <w:rsid w:val="00701FA6"/>
    <w:rsid w:val="007026E6"/>
    <w:rsid w:val="00702B86"/>
    <w:rsid w:val="00703A0D"/>
    <w:rsid w:val="00704A6A"/>
    <w:rsid w:val="0070527D"/>
    <w:rsid w:val="007068EE"/>
    <w:rsid w:val="007109BC"/>
    <w:rsid w:val="00710BFC"/>
    <w:rsid w:val="007134C2"/>
    <w:rsid w:val="007138CE"/>
    <w:rsid w:val="007221EC"/>
    <w:rsid w:val="00723AFD"/>
    <w:rsid w:val="007257F1"/>
    <w:rsid w:val="0074250B"/>
    <w:rsid w:val="007439E4"/>
    <w:rsid w:val="00751A81"/>
    <w:rsid w:val="00753161"/>
    <w:rsid w:val="007540BB"/>
    <w:rsid w:val="00755FBD"/>
    <w:rsid w:val="00757264"/>
    <w:rsid w:val="00760128"/>
    <w:rsid w:val="007655EB"/>
    <w:rsid w:val="00771266"/>
    <w:rsid w:val="007718A4"/>
    <w:rsid w:val="007719D0"/>
    <w:rsid w:val="0077574D"/>
    <w:rsid w:val="007775FE"/>
    <w:rsid w:val="007875E1"/>
    <w:rsid w:val="0079450C"/>
    <w:rsid w:val="007967F1"/>
    <w:rsid w:val="00797B17"/>
    <w:rsid w:val="007A147D"/>
    <w:rsid w:val="007A2FF6"/>
    <w:rsid w:val="007A376A"/>
    <w:rsid w:val="007A5702"/>
    <w:rsid w:val="007B0582"/>
    <w:rsid w:val="007B1609"/>
    <w:rsid w:val="007B1B78"/>
    <w:rsid w:val="007B65F1"/>
    <w:rsid w:val="007B6FD0"/>
    <w:rsid w:val="007B7FF8"/>
    <w:rsid w:val="007C1315"/>
    <w:rsid w:val="007D3897"/>
    <w:rsid w:val="007D6C79"/>
    <w:rsid w:val="007E0331"/>
    <w:rsid w:val="007E269A"/>
    <w:rsid w:val="007E40A4"/>
    <w:rsid w:val="007F0B17"/>
    <w:rsid w:val="007F1816"/>
    <w:rsid w:val="007F3458"/>
    <w:rsid w:val="007F3938"/>
    <w:rsid w:val="007F3F3A"/>
    <w:rsid w:val="007F50F8"/>
    <w:rsid w:val="007F541A"/>
    <w:rsid w:val="007F7146"/>
    <w:rsid w:val="007F7526"/>
    <w:rsid w:val="00801137"/>
    <w:rsid w:val="008036BE"/>
    <w:rsid w:val="008109D1"/>
    <w:rsid w:val="00810D36"/>
    <w:rsid w:val="008124B2"/>
    <w:rsid w:val="00817EC3"/>
    <w:rsid w:val="00821040"/>
    <w:rsid w:val="008214E4"/>
    <w:rsid w:val="00824252"/>
    <w:rsid w:val="0082559C"/>
    <w:rsid w:val="0082568D"/>
    <w:rsid w:val="00826227"/>
    <w:rsid w:val="0082624E"/>
    <w:rsid w:val="008268AB"/>
    <w:rsid w:val="008429B0"/>
    <w:rsid w:val="00851CD4"/>
    <w:rsid w:val="00853932"/>
    <w:rsid w:val="0085639C"/>
    <w:rsid w:val="00856A29"/>
    <w:rsid w:val="008836BB"/>
    <w:rsid w:val="00886BE8"/>
    <w:rsid w:val="00886D18"/>
    <w:rsid w:val="00890C2C"/>
    <w:rsid w:val="00893DDB"/>
    <w:rsid w:val="008971E2"/>
    <w:rsid w:val="00897312"/>
    <w:rsid w:val="008976C1"/>
    <w:rsid w:val="008A4F4B"/>
    <w:rsid w:val="008B1502"/>
    <w:rsid w:val="008B2A91"/>
    <w:rsid w:val="008B71A9"/>
    <w:rsid w:val="008B7D57"/>
    <w:rsid w:val="008C2080"/>
    <w:rsid w:val="008D0A58"/>
    <w:rsid w:val="008D241D"/>
    <w:rsid w:val="008E4AD2"/>
    <w:rsid w:val="008E6FAF"/>
    <w:rsid w:val="008E718D"/>
    <w:rsid w:val="008F46DB"/>
    <w:rsid w:val="00905045"/>
    <w:rsid w:val="00913A0E"/>
    <w:rsid w:val="0091513B"/>
    <w:rsid w:val="00915702"/>
    <w:rsid w:val="00922357"/>
    <w:rsid w:val="00932FD4"/>
    <w:rsid w:val="0094612D"/>
    <w:rsid w:val="00947035"/>
    <w:rsid w:val="009546F8"/>
    <w:rsid w:val="00956F9E"/>
    <w:rsid w:val="0096233B"/>
    <w:rsid w:val="00963D45"/>
    <w:rsid w:val="00964C71"/>
    <w:rsid w:val="00965B7E"/>
    <w:rsid w:val="00970817"/>
    <w:rsid w:val="00970BD2"/>
    <w:rsid w:val="00975AC0"/>
    <w:rsid w:val="00975C67"/>
    <w:rsid w:val="00981279"/>
    <w:rsid w:val="00982BC3"/>
    <w:rsid w:val="009855B2"/>
    <w:rsid w:val="009870EA"/>
    <w:rsid w:val="00990D95"/>
    <w:rsid w:val="0099789F"/>
    <w:rsid w:val="009A17DE"/>
    <w:rsid w:val="009B7B63"/>
    <w:rsid w:val="009C50AF"/>
    <w:rsid w:val="009D28A0"/>
    <w:rsid w:val="009D4824"/>
    <w:rsid w:val="009D56D7"/>
    <w:rsid w:val="009E1388"/>
    <w:rsid w:val="009F0D4E"/>
    <w:rsid w:val="009F1519"/>
    <w:rsid w:val="00A02284"/>
    <w:rsid w:val="00A02A50"/>
    <w:rsid w:val="00A07263"/>
    <w:rsid w:val="00A11DF4"/>
    <w:rsid w:val="00A15EB3"/>
    <w:rsid w:val="00A16EF5"/>
    <w:rsid w:val="00A24993"/>
    <w:rsid w:val="00A27680"/>
    <w:rsid w:val="00A27AE6"/>
    <w:rsid w:val="00A4295B"/>
    <w:rsid w:val="00A43945"/>
    <w:rsid w:val="00A44AC2"/>
    <w:rsid w:val="00A503F7"/>
    <w:rsid w:val="00A51A33"/>
    <w:rsid w:val="00A61145"/>
    <w:rsid w:val="00A627F1"/>
    <w:rsid w:val="00A635C9"/>
    <w:rsid w:val="00A70694"/>
    <w:rsid w:val="00A71055"/>
    <w:rsid w:val="00A72048"/>
    <w:rsid w:val="00A75833"/>
    <w:rsid w:val="00A7583B"/>
    <w:rsid w:val="00A81215"/>
    <w:rsid w:val="00A82625"/>
    <w:rsid w:val="00A928F4"/>
    <w:rsid w:val="00A93546"/>
    <w:rsid w:val="00A95F14"/>
    <w:rsid w:val="00A968DD"/>
    <w:rsid w:val="00AA0D2C"/>
    <w:rsid w:val="00AA43E8"/>
    <w:rsid w:val="00AA7BD8"/>
    <w:rsid w:val="00AB0DC5"/>
    <w:rsid w:val="00AB5075"/>
    <w:rsid w:val="00AB5BC9"/>
    <w:rsid w:val="00AC4C31"/>
    <w:rsid w:val="00AC53C9"/>
    <w:rsid w:val="00AC556F"/>
    <w:rsid w:val="00AD077C"/>
    <w:rsid w:val="00AD174C"/>
    <w:rsid w:val="00AD2BD8"/>
    <w:rsid w:val="00AD37BA"/>
    <w:rsid w:val="00AD3CFA"/>
    <w:rsid w:val="00AD4335"/>
    <w:rsid w:val="00AD50BA"/>
    <w:rsid w:val="00AD6E08"/>
    <w:rsid w:val="00AE0462"/>
    <w:rsid w:val="00AE66DC"/>
    <w:rsid w:val="00AE7382"/>
    <w:rsid w:val="00AF0542"/>
    <w:rsid w:val="00AF28A2"/>
    <w:rsid w:val="00AF46FF"/>
    <w:rsid w:val="00AF6528"/>
    <w:rsid w:val="00B00945"/>
    <w:rsid w:val="00B01110"/>
    <w:rsid w:val="00B01BA7"/>
    <w:rsid w:val="00B0603B"/>
    <w:rsid w:val="00B07730"/>
    <w:rsid w:val="00B07EBF"/>
    <w:rsid w:val="00B127AF"/>
    <w:rsid w:val="00B17320"/>
    <w:rsid w:val="00B20AE0"/>
    <w:rsid w:val="00B219EA"/>
    <w:rsid w:val="00B253F5"/>
    <w:rsid w:val="00B25CFF"/>
    <w:rsid w:val="00B275D7"/>
    <w:rsid w:val="00B27CD8"/>
    <w:rsid w:val="00B3240A"/>
    <w:rsid w:val="00B333A6"/>
    <w:rsid w:val="00B3494E"/>
    <w:rsid w:val="00B36AA2"/>
    <w:rsid w:val="00B36C60"/>
    <w:rsid w:val="00B46013"/>
    <w:rsid w:val="00B47EE8"/>
    <w:rsid w:val="00B60B2C"/>
    <w:rsid w:val="00B617E1"/>
    <w:rsid w:val="00B76C9B"/>
    <w:rsid w:val="00B76F11"/>
    <w:rsid w:val="00B84564"/>
    <w:rsid w:val="00B85589"/>
    <w:rsid w:val="00B9164B"/>
    <w:rsid w:val="00B937C1"/>
    <w:rsid w:val="00B9631F"/>
    <w:rsid w:val="00B96A89"/>
    <w:rsid w:val="00BA2391"/>
    <w:rsid w:val="00BA43C7"/>
    <w:rsid w:val="00BA587F"/>
    <w:rsid w:val="00BA5ED2"/>
    <w:rsid w:val="00BB2EC9"/>
    <w:rsid w:val="00BC22A4"/>
    <w:rsid w:val="00BC40A5"/>
    <w:rsid w:val="00BC4D1E"/>
    <w:rsid w:val="00BD1968"/>
    <w:rsid w:val="00BD3319"/>
    <w:rsid w:val="00BD3D6D"/>
    <w:rsid w:val="00BE163B"/>
    <w:rsid w:val="00BE4F80"/>
    <w:rsid w:val="00BE53B7"/>
    <w:rsid w:val="00BF5C77"/>
    <w:rsid w:val="00C0486C"/>
    <w:rsid w:val="00C1010A"/>
    <w:rsid w:val="00C11CA1"/>
    <w:rsid w:val="00C15579"/>
    <w:rsid w:val="00C16E87"/>
    <w:rsid w:val="00C177F6"/>
    <w:rsid w:val="00C21C12"/>
    <w:rsid w:val="00C2539E"/>
    <w:rsid w:val="00C31963"/>
    <w:rsid w:val="00C3257B"/>
    <w:rsid w:val="00C40946"/>
    <w:rsid w:val="00C41CDE"/>
    <w:rsid w:val="00C44B7E"/>
    <w:rsid w:val="00C53DC3"/>
    <w:rsid w:val="00C548B8"/>
    <w:rsid w:val="00C56459"/>
    <w:rsid w:val="00C73802"/>
    <w:rsid w:val="00C757E0"/>
    <w:rsid w:val="00C77087"/>
    <w:rsid w:val="00C81D36"/>
    <w:rsid w:val="00C8224A"/>
    <w:rsid w:val="00C82C25"/>
    <w:rsid w:val="00C864DB"/>
    <w:rsid w:val="00C87649"/>
    <w:rsid w:val="00C87896"/>
    <w:rsid w:val="00C90CC4"/>
    <w:rsid w:val="00C92E01"/>
    <w:rsid w:val="00C97D14"/>
    <w:rsid w:val="00CA56EE"/>
    <w:rsid w:val="00CA5CD7"/>
    <w:rsid w:val="00CA7F32"/>
    <w:rsid w:val="00CB1E53"/>
    <w:rsid w:val="00CC0246"/>
    <w:rsid w:val="00CC0864"/>
    <w:rsid w:val="00CC6D37"/>
    <w:rsid w:val="00CC7A2F"/>
    <w:rsid w:val="00CD08E6"/>
    <w:rsid w:val="00CD1CC4"/>
    <w:rsid w:val="00CD2BF4"/>
    <w:rsid w:val="00CD46D5"/>
    <w:rsid w:val="00CD7B19"/>
    <w:rsid w:val="00CE17B6"/>
    <w:rsid w:val="00CE1B82"/>
    <w:rsid w:val="00CE63BC"/>
    <w:rsid w:val="00CF0BFA"/>
    <w:rsid w:val="00D01A26"/>
    <w:rsid w:val="00D01CBF"/>
    <w:rsid w:val="00D04F46"/>
    <w:rsid w:val="00D06EFD"/>
    <w:rsid w:val="00D17674"/>
    <w:rsid w:val="00D23296"/>
    <w:rsid w:val="00D24906"/>
    <w:rsid w:val="00D3176F"/>
    <w:rsid w:val="00D35E50"/>
    <w:rsid w:val="00D37ED6"/>
    <w:rsid w:val="00D435EB"/>
    <w:rsid w:val="00D44DC8"/>
    <w:rsid w:val="00D46340"/>
    <w:rsid w:val="00D46846"/>
    <w:rsid w:val="00D51F03"/>
    <w:rsid w:val="00D57D16"/>
    <w:rsid w:val="00D6386E"/>
    <w:rsid w:val="00D63C6B"/>
    <w:rsid w:val="00D64276"/>
    <w:rsid w:val="00D65E37"/>
    <w:rsid w:val="00D667E9"/>
    <w:rsid w:val="00D701D9"/>
    <w:rsid w:val="00D70C8D"/>
    <w:rsid w:val="00D72A80"/>
    <w:rsid w:val="00D73671"/>
    <w:rsid w:val="00D7379B"/>
    <w:rsid w:val="00D74D02"/>
    <w:rsid w:val="00D75543"/>
    <w:rsid w:val="00D8111D"/>
    <w:rsid w:val="00D8116B"/>
    <w:rsid w:val="00D8117E"/>
    <w:rsid w:val="00D821DC"/>
    <w:rsid w:val="00D82971"/>
    <w:rsid w:val="00D829A5"/>
    <w:rsid w:val="00D82CA6"/>
    <w:rsid w:val="00D97519"/>
    <w:rsid w:val="00DA3D9C"/>
    <w:rsid w:val="00DA41ED"/>
    <w:rsid w:val="00DA5595"/>
    <w:rsid w:val="00DA67B8"/>
    <w:rsid w:val="00DA7DAB"/>
    <w:rsid w:val="00DA7F2E"/>
    <w:rsid w:val="00DB08EA"/>
    <w:rsid w:val="00DB3BE7"/>
    <w:rsid w:val="00DB5372"/>
    <w:rsid w:val="00DB6201"/>
    <w:rsid w:val="00DC0582"/>
    <w:rsid w:val="00DC3D48"/>
    <w:rsid w:val="00DD0A07"/>
    <w:rsid w:val="00DD3E0D"/>
    <w:rsid w:val="00DD5756"/>
    <w:rsid w:val="00DE321F"/>
    <w:rsid w:val="00DE3D62"/>
    <w:rsid w:val="00DF776C"/>
    <w:rsid w:val="00E007FE"/>
    <w:rsid w:val="00E008BA"/>
    <w:rsid w:val="00E010EE"/>
    <w:rsid w:val="00E022C4"/>
    <w:rsid w:val="00E02679"/>
    <w:rsid w:val="00E030F1"/>
    <w:rsid w:val="00E03963"/>
    <w:rsid w:val="00E0578C"/>
    <w:rsid w:val="00E05986"/>
    <w:rsid w:val="00E07CA6"/>
    <w:rsid w:val="00E10FA0"/>
    <w:rsid w:val="00E206FB"/>
    <w:rsid w:val="00E23701"/>
    <w:rsid w:val="00E25D6C"/>
    <w:rsid w:val="00E266BA"/>
    <w:rsid w:val="00E30C52"/>
    <w:rsid w:val="00E32E29"/>
    <w:rsid w:val="00E33DC0"/>
    <w:rsid w:val="00E343D2"/>
    <w:rsid w:val="00E346E8"/>
    <w:rsid w:val="00E4683C"/>
    <w:rsid w:val="00E5554C"/>
    <w:rsid w:val="00E617EA"/>
    <w:rsid w:val="00E62C20"/>
    <w:rsid w:val="00E64D7B"/>
    <w:rsid w:val="00E66D79"/>
    <w:rsid w:val="00E71B0D"/>
    <w:rsid w:val="00E74151"/>
    <w:rsid w:val="00E75B0D"/>
    <w:rsid w:val="00E804A4"/>
    <w:rsid w:val="00E91F16"/>
    <w:rsid w:val="00E9555E"/>
    <w:rsid w:val="00E95E11"/>
    <w:rsid w:val="00EA128A"/>
    <w:rsid w:val="00EA5992"/>
    <w:rsid w:val="00EB242E"/>
    <w:rsid w:val="00EB7464"/>
    <w:rsid w:val="00EC142F"/>
    <w:rsid w:val="00EC165D"/>
    <w:rsid w:val="00EC527B"/>
    <w:rsid w:val="00ED1544"/>
    <w:rsid w:val="00ED30E6"/>
    <w:rsid w:val="00EE6F05"/>
    <w:rsid w:val="00EE7D26"/>
    <w:rsid w:val="00EF1238"/>
    <w:rsid w:val="00EF62A4"/>
    <w:rsid w:val="00F160B1"/>
    <w:rsid w:val="00F30D71"/>
    <w:rsid w:val="00F431BE"/>
    <w:rsid w:val="00F43BEB"/>
    <w:rsid w:val="00F51A67"/>
    <w:rsid w:val="00F524B6"/>
    <w:rsid w:val="00F52825"/>
    <w:rsid w:val="00F64D71"/>
    <w:rsid w:val="00F66192"/>
    <w:rsid w:val="00F83DEE"/>
    <w:rsid w:val="00F84048"/>
    <w:rsid w:val="00F94C62"/>
    <w:rsid w:val="00F95C27"/>
    <w:rsid w:val="00F97766"/>
    <w:rsid w:val="00FA1D2F"/>
    <w:rsid w:val="00FA29B1"/>
    <w:rsid w:val="00FA302F"/>
    <w:rsid w:val="00FB5535"/>
    <w:rsid w:val="00FC1E18"/>
    <w:rsid w:val="00FC4662"/>
    <w:rsid w:val="00FC4B7B"/>
    <w:rsid w:val="00FC5DA8"/>
    <w:rsid w:val="00FC76C6"/>
    <w:rsid w:val="00FE15D2"/>
    <w:rsid w:val="00FE64A1"/>
    <w:rsid w:val="00FF0D21"/>
    <w:rsid w:val="00FF12AC"/>
    <w:rsid w:val="00FF2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18643"/>
  <w15:chartTrackingRefBased/>
  <w15:docId w15:val="{C5875A9C-77BC-4E83-8AA7-C78FD7DA1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FA0"/>
    <w:pPr>
      <w:jc w:val="both"/>
    </w:pPr>
  </w:style>
  <w:style w:type="paragraph" w:styleId="Heading1">
    <w:name w:val="heading 1"/>
    <w:basedOn w:val="Normal"/>
    <w:next w:val="Normal"/>
    <w:link w:val="Heading1Char"/>
    <w:uiPriority w:val="9"/>
    <w:qFormat/>
    <w:rsid w:val="00975AC0"/>
    <w:pPr>
      <w:keepNext/>
      <w:keepLines/>
      <w:spacing w:before="360" w:after="80"/>
      <w:outlineLvl w:val="0"/>
    </w:pPr>
    <w:rPr>
      <w:rFonts w:eastAsiaTheme="majorEastAsia" w:cstheme="minorHAnsi"/>
      <w:b/>
      <w:bCs/>
      <w:color w:val="2F5496" w:themeColor="accent1" w:themeShade="BF"/>
      <w:sz w:val="40"/>
      <w:szCs w:val="40"/>
      <w:lang w:val="en-GB"/>
    </w:rPr>
  </w:style>
  <w:style w:type="paragraph" w:styleId="Heading2">
    <w:name w:val="heading 2"/>
    <w:basedOn w:val="Normal"/>
    <w:next w:val="Normal"/>
    <w:link w:val="Heading2Char"/>
    <w:uiPriority w:val="9"/>
    <w:unhideWhenUsed/>
    <w:qFormat/>
    <w:rsid w:val="00810D36"/>
    <w:pPr>
      <w:keepNext/>
      <w:keepLines/>
      <w:spacing w:before="160" w:after="80"/>
      <w:outlineLvl w:val="1"/>
    </w:pPr>
    <w:rPr>
      <w:rFonts w:eastAsiaTheme="majorEastAsia" w:cstheme="minorHAnsi"/>
      <w:b/>
      <w:bCs/>
      <w:color w:val="2F5496" w:themeColor="accent1" w:themeShade="BF"/>
      <w:sz w:val="32"/>
      <w:szCs w:val="32"/>
    </w:rPr>
  </w:style>
  <w:style w:type="paragraph" w:styleId="Heading3">
    <w:name w:val="heading 3"/>
    <w:basedOn w:val="Normal"/>
    <w:next w:val="Normal"/>
    <w:link w:val="Heading3Char"/>
    <w:uiPriority w:val="9"/>
    <w:semiHidden/>
    <w:unhideWhenUsed/>
    <w:qFormat/>
    <w:rsid w:val="00975A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5A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5A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5A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A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A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A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AC0"/>
    <w:rPr>
      <w:rFonts w:eastAsiaTheme="majorEastAsia" w:cstheme="minorHAnsi"/>
      <w:b/>
      <w:bCs/>
      <w:color w:val="2F5496" w:themeColor="accent1" w:themeShade="BF"/>
      <w:sz w:val="40"/>
      <w:szCs w:val="40"/>
      <w:lang w:val="en-GB"/>
    </w:rPr>
  </w:style>
  <w:style w:type="character" w:customStyle="1" w:styleId="Heading2Char">
    <w:name w:val="Heading 2 Char"/>
    <w:basedOn w:val="DefaultParagraphFont"/>
    <w:link w:val="Heading2"/>
    <w:uiPriority w:val="9"/>
    <w:rsid w:val="00810D36"/>
    <w:rPr>
      <w:rFonts w:eastAsiaTheme="majorEastAsia" w:cstheme="minorHAnsi"/>
      <w:b/>
      <w:bCs/>
      <w:color w:val="2F5496" w:themeColor="accent1" w:themeShade="BF"/>
      <w:sz w:val="32"/>
      <w:szCs w:val="32"/>
    </w:rPr>
  </w:style>
  <w:style w:type="character" w:customStyle="1" w:styleId="Heading3Char">
    <w:name w:val="Heading 3 Char"/>
    <w:basedOn w:val="DefaultParagraphFont"/>
    <w:link w:val="Heading3"/>
    <w:uiPriority w:val="9"/>
    <w:semiHidden/>
    <w:rsid w:val="00975A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5A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5A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5A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A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A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AC0"/>
    <w:rPr>
      <w:rFonts w:eastAsiaTheme="majorEastAsia" w:cstheme="majorBidi"/>
      <w:color w:val="272727" w:themeColor="text1" w:themeTint="D8"/>
    </w:rPr>
  </w:style>
  <w:style w:type="paragraph" w:styleId="Title">
    <w:name w:val="Title"/>
    <w:basedOn w:val="Normal"/>
    <w:next w:val="Normal"/>
    <w:link w:val="TitleChar"/>
    <w:uiPriority w:val="10"/>
    <w:qFormat/>
    <w:rsid w:val="00975A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A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A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A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AC0"/>
    <w:pPr>
      <w:spacing w:before="160"/>
      <w:jc w:val="center"/>
    </w:pPr>
    <w:rPr>
      <w:i/>
      <w:iCs/>
      <w:color w:val="404040" w:themeColor="text1" w:themeTint="BF"/>
    </w:rPr>
  </w:style>
  <w:style w:type="character" w:customStyle="1" w:styleId="QuoteChar">
    <w:name w:val="Quote Char"/>
    <w:basedOn w:val="DefaultParagraphFont"/>
    <w:link w:val="Quote"/>
    <w:uiPriority w:val="29"/>
    <w:rsid w:val="00975AC0"/>
    <w:rPr>
      <w:i/>
      <w:iCs/>
      <w:color w:val="404040" w:themeColor="text1" w:themeTint="BF"/>
    </w:rPr>
  </w:style>
  <w:style w:type="paragraph" w:styleId="ListParagraph">
    <w:name w:val="List Paragraph"/>
    <w:basedOn w:val="Normal"/>
    <w:uiPriority w:val="34"/>
    <w:qFormat/>
    <w:rsid w:val="00975AC0"/>
    <w:pPr>
      <w:ind w:left="720"/>
      <w:contextualSpacing/>
    </w:pPr>
  </w:style>
  <w:style w:type="character" w:styleId="IntenseEmphasis">
    <w:name w:val="Intense Emphasis"/>
    <w:basedOn w:val="DefaultParagraphFont"/>
    <w:uiPriority w:val="21"/>
    <w:qFormat/>
    <w:rsid w:val="00975AC0"/>
    <w:rPr>
      <w:i/>
      <w:iCs/>
      <w:color w:val="2F5496" w:themeColor="accent1" w:themeShade="BF"/>
    </w:rPr>
  </w:style>
  <w:style w:type="paragraph" w:styleId="IntenseQuote">
    <w:name w:val="Intense Quote"/>
    <w:basedOn w:val="Normal"/>
    <w:next w:val="Normal"/>
    <w:link w:val="IntenseQuoteChar"/>
    <w:uiPriority w:val="30"/>
    <w:qFormat/>
    <w:rsid w:val="00975A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5AC0"/>
    <w:rPr>
      <w:i/>
      <w:iCs/>
      <w:color w:val="2F5496" w:themeColor="accent1" w:themeShade="BF"/>
    </w:rPr>
  </w:style>
  <w:style w:type="character" w:styleId="IntenseReference">
    <w:name w:val="Intense Reference"/>
    <w:basedOn w:val="DefaultParagraphFont"/>
    <w:uiPriority w:val="32"/>
    <w:qFormat/>
    <w:rsid w:val="00975AC0"/>
    <w:rPr>
      <w:b/>
      <w:bCs/>
      <w:smallCaps/>
      <w:color w:val="2F5496" w:themeColor="accent1" w:themeShade="BF"/>
      <w:spacing w:val="5"/>
    </w:rPr>
  </w:style>
  <w:style w:type="table" w:styleId="TableGrid">
    <w:name w:val="Table Grid"/>
    <w:basedOn w:val="TableNormal"/>
    <w:uiPriority w:val="39"/>
    <w:rsid w:val="00975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5A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AC0"/>
  </w:style>
  <w:style w:type="paragraph" w:styleId="Footer">
    <w:name w:val="footer"/>
    <w:basedOn w:val="Normal"/>
    <w:link w:val="FooterChar"/>
    <w:uiPriority w:val="99"/>
    <w:unhideWhenUsed/>
    <w:rsid w:val="00975A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AC0"/>
  </w:style>
  <w:style w:type="paragraph" w:styleId="TOCHeading">
    <w:name w:val="TOC Heading"/>
    <w:basedOn w:val="Heading1"/>
    <w:next w:val="Normal"/>
    <w:uiPriority w:val="39"/>
    <w:unhideWhenUsed/>
    <w:qFormat/>
    <w:rsid w:val="00975AC0"/>
    <w:pPr>
      <w:spacing w:before="240" w:after="0" w:line="259" w:lineRule="auto"/>
      <w:jc w:val="left"/>
      <w:outlineLvl w:val="9"/>
    </w:pPr>
    <w:rPr>
      <w:rFonts w:asciiTheme="majorHAnsi" w:hAnsiTheme="majorHAnsi" w:cstheme="majorBidi"/>
      <w:b w:val="0"/>
      <w:bCs w:val="0"/>
      <w:kern w:val="0"/>
      <w:sz w:val="32"/>
      <w:szCs w:val="32"/>
      <w:lang w:val="en-US"/>
      <w14:ligatures w14:val="none"/>
    </w:rPr>
  </w:style>
  <w:style w:type="paragraph" w:styleId="TOC1">
    <w:name w:val="toc 1"/>
    <w:basedOn w:val="Normal"/>
    <w:next w:val="Normal"/>
    <w:autoRedefine/>
    <w:uiPriority w:val="39"/>
    <w:unhideWhenUsed/>
    <w:rsid w:val="00975AC0"/>
    <w:pPr>
      <w:spacing w:after="100"/>
    </w:pPr>
  </w:style>
  <w:style w:type="character" w:styleId="Hyperlink">
    <w:name w:val="Hyperlink"/>
    <w:basedOn w:val="DefaultParagraphFont"/>
    <w:uiPriority w:val="99"/>
    <w:unhideWhenUsed/>
    <w:rsid w:val="00975AC0"/>
    <w:rPr>
      <w:color w:val="0563C1" w:themeColor="hyperlink"/>
      <w:u w:val="single"/>
    </w:rPr>
  </w:style>
  <w:style w:type="table" w:styleId="GridTable4-Accent1">
    <w:name w:val="Grid Table 4 Accent 1"/>
    <w:basedOn w:val="TableNormal"/>
    <w:uiPriority w:val="49"/>
    <w:rsid w:val="00A9354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47"/>
    <w:rsid w:val="0010566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810D36"/>
    <w:rPr>
      <w:color w:val="605E5C"/>
      <w:shd w:val="clear" w:color="auto" w:fill="E1DFDD"/>
    </w:rPr>
  </w:style>
  <w:style w:type="paragraph" w:styleId="TOC2">
    <w:name w:val="toc 2"/>
    <w:basedOn w:val="Normal"/>
    <w:next w:val="Normal"/>
    <w:autoRedefine/>
    <w:uiPriority w:val="39"/>
    <w:unhideWhenUsed/>
    <w:rsid w:val="00391F4E"/>
    <w:pPr>
      <w:spacing w:after="100"/>
      <w:ind w:left="240"/>
    </w:pPr>
  </w:style>
  <w:style w:type="table" w:styleId="GridTable1Light">
    <w:name w:val="Grid Table 1 Light"/>
    <w:basedOn w:val="TableNormal"/>
    <w:uiPriority w:val="46"/>
    <w:rsid w:val="00F431B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87301-881B-4C30-B0C2-78A7B19CF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10721</Words>
  <Characters>61116</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Pupovac</dc:creator>
  <cp:keywords/>
  <dc:description/>
  <cp:lastModifiedBy>Rafael Pupovac</cp:lastModifiedBy>
  <cp:revision>6</cp:revision>
  <dcterms:created xsi:type="dcterms:W3CDTF">2026-01-22T11:31:00Z</dcterms:created>
  <dcterms:modified xsi:type="dcterms:W3CDTF">2026-01-22T16:25:00Z</dcterms:modified>
</cp:coreProperties>
</file>